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7B" w:rsidRPr="007D477C" w:rsidRDefault="00970C7B" w:rsidP="00970C7B">
      <w:pPr>
        <w:rPr>
          <w:color w:val="FF0000"/>
          <w:spacing w:val="-24"/>
          <w:sz w:val="24"/>
          <w:szCs w:val="24"/>
        </w:rPr>
      </w:pPr>
      <w:r w:rsidRPr="007D477C">
        <w:rPr>
          <w:rFonts w:eastAsia="方正黑体_GBK" w:hint="eastAsia"/>
        </w:rPr>
        <w:t>附件</w:t>
      </w:r>
    </w:p>
    <w:p w:rsidR="007C7B8D" w:rsidRPr="007D477C" w:rsidRDefault="007C7B8D" w:rsidP="000D7E2E">
      <w:pPr>
        <w:jc w:val="center"/>
        <w:rPr>
          <w:color w:val="FF0000"/>
        </w:rPr>
      </w:pPr>
    </w:p>
    <w:p w:rsidR="00467DC3" w:rsidRPr="007D477C" w:rsidRDefault="00467DC3" w:rsidP="00467DC3">
      <w:pPr>
        <w:jc w:val="center"/>
        <w:rPr>
          <w:rFonts w:eastAsia="方正小标宋_GBK"/>
          <w:sz w:val="40"/>
          <w:szCs w:val="40"/>
        </w:rPr>
      </w:pPr>
      <w:r w:rsidRPr="007D477C">
        <w:rPr>
          <w:rFonts w:eastAsia="方正小标宋_GBK" w:hint="eastAsia"/>
          <w:sz w:val="40"/>
          <w:szCs w:val="40"/>
        </w:rPr>
        <w:t>风电项目竞争配置指导方案（试行）</w:t>
      </w:r>
    </w:p>
    <w:p w:rsidR="00970C7B" w:rsidRPr="007D477C" w:rsidRDefault="00467DC3" w:rsidP="00467DC3">
      <w:pPr>
        <w:jc w:val="center"/>
        <w:rPr>
          <w:rFonts w:eastAsia="方正小标宋_GBK"/>
          <w:sz w:val="40"/>
          <w:szCs w:val="40"/>
        </w:rPr>
      </w:pPr>
      <w:r w:rsidRPr="007D477C">
        <w:rPr>
          <w:rFonts w:eastAsia="方正小标宋_GBK" w:hint="eastAsia"/>
          <w:sz w:val="40"/>
          <w:szCs w:val="40"/>
        </w:rPr>
        <w:t>（</w:t>
      </w:r>
      <w:r w:rsidRPr="007D477C">
        <w:rPr>
          <w:rFonts w:eastAsia="方正小标宋_GBK" w:hint="eastAsia"/>
          <w:sz w:val="40"/>
          <w:szCs w:val="40"/>
        </w:rPr>
        <w:t>2018</w:t>
      </w:r>
      <w:r w:rsidRPr="007D477C">
        <w:rPr>
          <w:rFonts w:eastAsia="方正小标宋_GBK" w:hint="eastAsia"/>
          <w:sz w:val="40"/>
          <w:szCs w:val="40"/>
        </w:rPr>
        <w:t>年度）</w:t>
      </w:r>
    </w:p>
    <w:p w:rsidR="00CB041A" w:rsidRPr="007D477C" w:rsidRDefault="00CB041A" w:rsidP="00CB041A">
      <w:pPr>
        <w:spacing w:line="294" w:lineRule="exact"/>
        <w:jc w:val="center"/>
        <w:rPr>
          <w:rFonts w:eastAsia="楷体_GB2312"/>
          <w:color w:val="FF0000"/>
          <w:spacing w:val="-20"/>
          <w:sz w:val="24"/>
          <w:szCs w:val="24"/>
        </w:rPr>
      </w:pPr>
    </w:p>
    <w:p w:rsidR="00467DC3" w:rsidRPr="007D477C" w:rsidRDefault="00467DC3" w:rsidP="00CB041A">
      <w:pPr>
        <w:spacing w:line="294" w:lineRule="exact"/>
        <w:jc w:val="center"/>
        <w:rPr>
          <w:rFonts w:eastAsia="楷体_GB2312"/>
          <w:color w:val="FF0000"/>
          <w:spacing w:val="-20"/>
          <w:sz w:val="24"/>
          <w:szCs w:val="24"/>
        </w:rPr>
      </w:pPr>
    </w:p>
    <w:p w:rsidR="00B05A7C" w:rsidRPr="007D477C" w:rsidRDefault="00B05A7C" w:rsidP="005502AE">
      <w:pPr>
        <w:adjustRightInd w:val="0"/>
        <w:snapToGrid w:val="0"/>
        <w:ind w:firstLineChars="200" w:firstLine="600"/>
        <w:rPr>
          <w:szCs w:val="30"/>
        </w:rPr>
      </w:pPr>
      <w:r w:rsidRPr="007D477C">
        <w:rPr>
          <w:rFonts w:hint="eastAsia"/>
          <w:szCs w:val="30"/>
        </w:rPr>
        <w:t>为促进风电有序规范建设，加快风电技术进步、产业升级和市场化发展，按照市场在资源配置中发挥决定性作用和更好发挥政府作用的总要求，对集中式陆上风电项目和海上风电项目通过竞争配置方式组织建设。</w:t>
      </w:r>
    </w:p>
    <w:p w:rsidR="00B05A7C" w:rsidRPr="00B05A7C" w:rsidRDefault="00B05A7C" w:rsidP="005502AE">
      <w:pPr>
        <w:adjustRightInd w:val="0"/>
        <w:snapToGrid w:val="0"/>
        <w:ind w:firstLine="643"/>
        <w:textAlignment w:val="auto"/>
        <w:outlineLvl w:val="0"/>
        <w:rPr>
          <w:rFonts w:eastAsia="方正黑体_GBK"/>
          <w:szCs w:val="30"/>
        </w:rPr>
      </w:pPr>
      <w:r w:rsidRPr="00B05A7C">
        <w:rPr>
          <w:rFonts w:eastAsia="方正黑体_GBK" w:hint="eastAsia"/>
          <w:szCs w:val="30"/>
        </w:rPr>
        <w:t>一、基本原则</w:t>
      </w:r>
    </w:p>
    <w:p w:rsidR="00B05A7C" w:rsidRPr="00B05A7C" w:rsidRDefault="00B05A7C" w:rsidP="005502AE">
      <w:pPr>
        <w:adjustRightInd w:val="0"/>
        <w:snapToGrid w:val="0"/>
        <w:ind w:firstLineChars="200" w:firstLine="600"/>
        <w:textAlignment w:val="auto"/>
        <w:outlineLvl w:val="1"/>
        <w:rPr>
          <w:szCs w:val="30"/>
        </w:rPr>
      </w:pPr>
      <w:r w:rsidRPr="00B05A7C">
        <w:rPr>
          <w:rFonts w:eastAsia="方正楷体_GBK" w:hint="eastAsia"/>
          <w:szCs w:val="30"/>
        </w:rPr>
        <w:t>（一）规划总量控制。</w:t>
      </w:r>
      <w:r w:rsidRPr="00B05A7C">
        <w:rPr>
          <w:rFonts w:hint="eastAsia"/>
          <w:szCs w:val="30"/>
        </w:rPr>
        <w:t>各省级能源主管部门要严格按照国务院能源主管部门批复的有关规划和《国家能源局关于可再生能源发展“十三五”规划实施的指导意见》的管理要求，有序规范组织建设。</w:t>
      </w:r>
    </w:p>
    <w:p w:rsidR="00B05A7C" w:rsidRPr="00B05A7C" w:rsidRDefault="00B05A7C" w:rsidP="005502AE">
      <w:pPr>
        <w:adjustRightInd w:val="0"/>
        <w:snapToGrid w:val="0"/>
        <w:ind w:firstLineChars="200" w:firstLine="600"/>
        <w:textAlignment w:val="auto"/>
        <w:outlineLvl w:val="1"/>
        <w:rPr>
          <w:szCs w:val="30"/>
        </w:rPr>
      </w:pPr>
      <w:r w:rsidRPr="00B05A7C">
        <w:rPr>
          <w:rFonts w:eastAsia="方正楷体_GBK" w:hint="eastAsia"/>
          <w:szCs w:val="30"/>
        </w:rPr>
        <w:t>（二）公开竞争优选。</w:t>
      </w:r>
      <w:r w:rsidRPr="00B05A7C">
        <w:rPr>
          <w:rFonts w:hint="eastAsia"/>
          <w:szCs w:val="30"/>
        </w:rPr>
        <w:t>各省级能源主管部门要制定风电项目竞争配置办法，公开竞争配置条件和流程，按照公开公平公正的原则进行项目优选。</w:t>
      </w:r>
    </w:p>
    <w:p w:rsidR="00B05A7C" w:rsidRPr="00B05A7C" w:rsidRDefault="00B05A7C" w:rsidP="005502AE">
      <w:pPr>
        <w:adjustRightInd w:val="0"/>
        <w:snapToGrid w:val="0"/>
        <w:ind w:firstLineChars="200" w:firstLine="600"/>
        <w:textAlignment w:val="auto"/>
        <w:outlineLvl w:val="1"/>
        <w:rPr>
          <w:szCs w:val="30"/>
        </w:rPr>
      </w:pPr>
      <w:r w:rsidRPr="00B05A7C">
        <w:rPr>
          <w:rFonts w:eastAsia="方正楷体_GBK" w:hint="eastAsia"/>
          <w:szCs w:val="30"/>
        </w:rPr>
        <w:t>（三）接入消纳保障。</w:t>
      </w:r>
      <w:r w:rsidRPr="00B05A7C">
        <w:rPr>
          <w:rFonts w:hint="eastAsia"/>
          <w:szCs w:val="30"/>
        </w:rPr>
        <w:t>所</w:t>
      </w:r>
      <w:bookmarkStart w:id="0" w:name="_GoBack"/>
      <w:bookmarkEnd w:id="0"/>
      <w:r w:rsidRPr="00B05A7C">
        <w:rPr>
          <w:rFonts w:hint="eastAsia"/>
          <w:szCs w:val="30"/>
        </w:rPr>
        <w:t>有参与竞争配置的项目必须以电网企业投资建设接网及配套电网工程和落实消纳为前提条件，确保项目建成后达到最低保障收购年利用小时数（或弃风率不超过</w:t>
      </w:r>
      <w:r w:rsidRPr="00B05A7C">
        <w:rPr>
          <w:rFonts w:hint="eastAsia"/>
          <w:szCs w:val="30"/>
        </w:rPr>
        <w:t>5%</w:t>
      </w:r>
      <w:r w:rsidRPr="00B05A7C">
        <w:rPr>
          <w:rFonts w:hint="eastAsia"/>
          <w:szCs w:val="30"/>
        </w:rPr>
        <w:t>）。</w:t>
      </w:r>
    </w:p>
    <w:p w:rsidR="00B05A7C" w:rsidRPr="00B05A7C" w:rsidRDefault="00B05A7C" w:rsidP="005502AE">
      <w:pPr>
        <w:adjustRightInd w:val="0"/>
        <w:snapToGrid w:val="0"/>
        <w:ind w:firstLineChars="200" w:firstLine="600"/>
        <w:textAlignment w:val="auto"/>
        <w:outlineLvl w:val="1"/>
        <w:rPr>
          <w:szCs w:val="30"/>
        </w:rPr>
      </w:pPr>
      <w:r w:rsidRPr="00B05A7C">
        <w:rPr>
          <w:rFonts w:eastAsia="方正楷体_GBK" w:hint="eastAsia"/>
          <w:szCs w:val="30"/>
        </w:rPr>
        <w:t>（四）电价竞争确定。</w:t>
      </w:r>
      <w:r w:rsidRPr="00B05A7C">
        <w:rPr>
          <w:rFonts w:hint="eastAsia"/>
          <w:szCs w:val="30"/>
        </w:rPr>
        <w:t>尚未配置到项目的年度新增集中式陆</w:t>
      </w:r>
      <w:r w:rsidRPr="00B05A7C">
        <w:rPr>
          <w:rFonts w:hint="eastAsia"/>
          <w:szCs w:val="30"/>
        </w:rPr>
        <w:lastRenderedPageBreak/>
        <w:t>上风电和未确定投资主体的海上风电项目全部通过竞争方式配置并确定上网电价，各项目申报的上网电价不得高于国家规定的同类资源区标杆上网电价。各级地方政府部门不得干预项目单位报价。</w:t>
      </w:r>
    </w:p>
    <w:p w:rsidR="00B05A7C" w:rsidRPr="00B05A7C" w:rsidRDefault="00B05A7C" w:rsidP="005502AE">
      <w:pPr>
        <w:adjustRightInd w:val="0"/>
        <w:snapToGrid w:val="0"/>
        <w:ind w:firstLineChars="200" w:firstLine="600"/>
        <w:textAlignment w:val="auto"/>
        <w:outlineLvl w:val="1"/>
        <w:rPr>
          <w:szCs w:val="30"/>
        </w:rPr>
      </w:pPr>
      <w:r w:rsidRPr="00B05A7C">
        <w:rPr>
          <w:rFonts w:eastAsia="方正楷体_GBK" w:hint="eastAsia"/>
          <w:szCs w:val="30"/>
        </w:rPr>
        <w:t>（五）优化投资环境。</w:t>
      </w:r>
      <w:r w:rsidRPr="00B05A7C">
        <w:rPr>
          <w:rFonts w:hint="eastAsia"/>
          <w:szCs w:val="30"/>
        </w:rPr>
        <w:t>省级能源主管部门要指导市（县）级政府优化投资环境，风电项目场址符合有关规划，不在收取城镇土地使用税的范围；如涉及耕地占用税和林草土地，税费标准应合规合理。地方政府不得以资源出让、企业援建和捐赠等名义变相向企业收费，增加项目投资经营成本。</w:t>
      </w:r>
    </w:p>
    <w:p w:rsidR="00B05A7C" w:rsidRPr="00B05A7C" w:rsidRDefault="00B05A7C" w:rsidP="005502AE">
      <w:pPr>
        <w:adjustRightInd w:val="0"/>
        <w:snapToGrid w:val="0"/>
        <w:ind w:firstLine="643"/>
        <w:textAlignment w:val="auto"/>
        <w:outlineLvl w:val="0"/>
        <w:rPr>
          <w:rFonts w:eastAsia="方正黑体_GBK"/>
          <w:szCs w:val="30"/>
        </w:rPr>
      </w:pPr>
      <w:r w:rsidRPr="00B05A7C">
        <w:rPr>
          <w:rFonts w:eastAsia="方正黑体_GBK" w:hint="eastAsia"/>
          <w:szCs w:val="30"/>
        </w:rPr>
        <w:t>二、竞争配置风电项目类型</w:t>
      </w:r>
    </w:p>
    <w:p w:rsidR="00B05A7C" w:rsidRPr="00B05A7C" w:rsidRDefault="00B05A7C" w:rsidP="005502AE">
      <w:pPr>
        <w:adjustRightInd w:val="0"/>
        <w:snapToGrid w:val="0"/>
        <w:ind w:firstLineChars="200" w:firstLine="600"/>
        <w:textAlignment w:val="auto"/>
        <w:outlineLvl w:val="1"/>
        <w:rPr>
          <w:rFonts w:eastAsia="方正楷体_GBK"/>
          <w:szCs w:val="30"/>
        </w:rPr>
      </w:pPr>
      <w:r w:rsidRPr="00B05A7C">
        <w:rPr>
          <w:rFonts w:eastAsia="方正楷体_GBK" w:hint="eastAsia"/>
          <w:szCs w:val="30"/>
        </w:rPr>
        <w:t>（一）已确定投资主体的风电项目</w:t>
      </w:r>
    </w:p>
    <w:p w:rsidR="00B05A7C" w:rsidRPr="00B05A7C" w:rsidRDefault="00B05A7C" w:rsidP="005502AE">
      <w:pPr>
        <w:adjustRightInd w:val="0"/>
        <w:snapToGrid w:val="0"/>
        <w:ind w:firstLineChars="200" w:firstLine="600"/>
        <w:textAlignment w:val="auto"/>
        <w:rPr>
          <w:szCs w:val="30"/>
        </w:rPr>
      </w:pPr>
      <w:r w:rsidRPr="00B05A7C">
        <w:rPr>
          <w:rFonts w:hint="eastAsia"/>
          <w:szCs w:val="30"/>
        </w:rPr>
        <w:t>已确定投资主体的项目，是指投资企业已与当地政府签署风电开发协议并完成测风评价、场址勘察等前期工作的项目。</w:t>
      </w:r>
    </w:p>
    <w:p w:rsidR="00B05A7C" w:rsidRPr="00B05A7C" w:rsidRDefault="00B05A7C" w:rsidP="005502AE">
      <w:pPr>
        <w:adjustRightInd w:val="0"/>
        <w:snapToGrid w:val="0"/>
        <w:ind w:firstLineChars="200" w:firstLine="600"/>
        <w:textAlignment w:val="auto"/>
        <w:rPr>
          <w:szCs w:val="30"/>
        </w:rPr>
      </w:pPr>
      <w:r w:rsidRPr="00B05A7C">
        <w:rPr>
          <w:rFonts w:hint="eastAsia"/>
          <w:szCs w:val="30"/>
        </w:rPr>
        <w:t>各省级能源主管部门按照国务院能源主管部门批复的本地区相关能源规划的风电发展目标及年度新增建设规模，采用竞争方式对已确定投资主体的项目进行新增建设规模配置，综合评分高的项目应优先纳入本地区年度建设方案。</w:t>
      </w:r>
    </w:p>
    <w:p w:rsidR="00B05A7C" w:rsidRPr="00B05A7C" w:rsidRDefault="00B05A7C" w:rsidP="005502AE">
      <w:pPr>
        <w:adjustRightInd w:val="0"/>
        <w:snapToGrid w:val="0"/>
        <w:ind w:firstLineChars="200" w:firstLine="600"/>
        <w:textAlignment w:val="auto"/>
        <w:outlineLvl w:val="1"/>
        <w:rPr>
          <w:rFonts w:eastAsia="方正楷体_GBK"/>
          <w:szCs w:val="30"/>
        </w:rPr>
      </w:pPr>
      <w:r w:rsidRPr="00B05A7C">
        <w:rPr>
          <w:rFonts w:eastAsia="方正楷体_GBK" w:hint="eastAsia"/>
          <w:szCs w:val="30"/>
        </w:rPr>
        <w:t>（二）未确定投资主体的风电项目（含大型风电基地）</w:t>
      </w:r>
    </w:p>
    <w:p w:rsidR="00B05A7C" w:rsidRPr="00B05A7C" w:rsidRDefault="00B05A7C" w:rsidP="005502AE">
      <w:pPr>
        <w:adjustRightInd w:val="0"/>
        <w:snapToGrid w:val="0"/>
        <w:ind w:firstLineChars="200" w:firstLine="600"/>
        <w:textAlignment w:val="auto"/>
        <w:rPr>
          <w:szCs w:val="30"/>
        </w:rPr>
      </w:pPr>
      <w:r w:rsidRPr="00B05A7C">
        <w:rPr>
          <w:rFonts w:hint="eastAsia"/>
          <w:szCs w:val="30"/>
        </w:rPr>
        <w:t>未确定投资主体的风电项目，是指地方政府已组织完成风电开发前期工作的场址区域，已商请省级电网企业落实电力送出和消纳条件的项目。各省级能源主管部门应以承诺上网电价为重要条件，通过招标等竞争方式公开选择项目投资主体。</w:t>
      </w:r>
    </w:p>
    <w:p w:rsidR="00B05A7C" w:rsidRPr="00B05A7C" w:rsidRDefault="00B05A7C" w:rsidP="005502AE">
      <w:pPr>
        <w:adjustRightInd w:val="0"/>
        <w:snapToGrid w:val="0"/>
        <w:ind w:firstLine="643"/>
        <w:textAlignment w:val="auto"/>
        <w:outlineLvl w:val="0"/>
        <w:rPr>
          <w:rFonts w:eastAsia="方正黑体_GBK"/>
          <w:szCs w:val="30"/>
        </w:rPr>
      </w:pPr>
      <w:r w:rsidRPr="00B05A7C">
        <w:rPr>
          <w:rFonts w:eastAsia="方正黑体_GBK" w:hint="eastAsia"/>
          <w:szCs w:val="30"/>
        </w:rPr>
        <w:t>三、竞争配置要求</w:t>
      </w:r>
    </w:p>
    <w:p w:rsidR="00B05A7C" w:rsidRPr="00B05A7C" w:rsidRDefault="00B05A7C" w:rsidP="005502AE">
      <w:pPr>
        <w:adjustRightInd w:val="0"/>
        <w:snapToGrid w:val="0"/>
        <w:ind w:firstLineChars="200" w:firstLine="600"/>
        <w:textAlignment w:val="auto"/>
        <w:rPr>
          <w:szCs w:val="30"/>
        </w:rPr>
      </w:pPr>
      <w:r w:rsidRPr="007D477C">
        <w:rPr>
          <w:rFonts w:eastAsia="方正楷体_GBK" w:hint="eastAsia"/>
          <w:szCs w:val="30"/>
        </w:rPr>
        <w:t>（一）参与竞争配置项目要求。</w:t>
      </w:r>
      <w:r w:rsidRPr="007D477C">
        <w:rPr>
          <w:rFonts w:hint="eastAsia"/>
          <w:szCs w:val="30"/>
        </w:rPr>
        <w:t>已完成一年以上测风，经评价具备开发价值，所利用的土地符合当地土地利用规划和有关方面的管理规定。项目建设应符合风电各项开发建设管理的要求和预警管理的要求。</w:t>
      </w:r>
    </w:p>
    <w:p w:rsidR="00B05A7C" w:rsidRPr="007D477C" w:rsidRDefault="00B05A7C" w:rsidP="005502AE">
      <w:pPr>
        <w:adjustRightInd w:val="0"/>
        <w:snapToGrid w:val="0"/>
        <w:ind w:firstLineChars="200" w:firstLine="600"/>
        <w:textAlignment w:val="auto"/>
        <w:rPr>
          <w:szCs w:val="30"/>
        </w:rPr>
      </w:pPr>
      <w:r w:rsidRPr="007D477C">
        <w:rPr>
          <w:rFonts w:eastAsia="方正楷体_GBK" w:hint="eastAsia"/>
          <w:szCs w:val="30"/>
        </w:rPr>
        <w:t>（二）投资主体要求。</w:t>
      </w:r>
      <w:r w:rsidRPr="007D477C">
        <w:rPr>
          <w:rFonts w:hint="eastAsia"/>
          <w:szCs w:val="30"/>
        </w:rPr>
        <w:t>具备基本的符合项目开发建设所需的技术、资金和经营管理能力。具体条件由各省级能源主管部门根据当地实际确定。</w:t>
      </w:r>
    </w:p>
    <w:p w:rsidR="00B05A7C" w:rsidRPr="007D477C" w:rsidRDefault="00B05A7C" w:rsidP="005502AE">
      <w:pPr>
        <w:adjustRightInd w:val="0"/>
        <w:snapToGrid w:val="0"/>
        <w:ind w:firstLineChars="200" w:firstLine="600"/>
        <w:textAlignment w:val="auto"/>
        <w:rPr>
          <w:szCs w:val="30"/>
        </w:rPr>
      </w:pPr>
      <w:r w:rsidRPr="007D477C">
        <w:rPr>
          <w:rFonts w:eastAsia="方正楷体_GBK" w:hint="eastAsia"/>
          <w:szCs w:val="30"/>
        </w:rPr>
        <w:t>（三）地方投资环境要求。</w:t>
      </w:r>
      <w:r w:rsidRPr="007D477C">
        <w:rPr>
          <w:rFonts w:hint="eastAsia"/>
          <w:szCs w:val="30"/>
        </w:rPr>
        <w:t>参与竞争的项目，所使用场址不在城镇土地使用税范围，涉及一般耕地占用，林地、草原占用的收费符合法律规定。地方政府及相关部门不存在收取国家法律规定之外的资源出让金等费用的问题，地方政府无向项目摊派费用或强制采购本地设备等增加项目投资经营成本的要求。</w:t>
      </w:r>
    </w:p>
    <w:p w:rsidR="00B05A7C" w:rsidRPr="007D477C" w:rsidRDefault="00B05A7C" w:rsidP="005502AE">
      <w:pPr>
        <w:adjustRightInd w:val="0"/>
        <w:snapToGrid w:val="0"/>
        <w:ind w:firstLineChars="200" w:firstLine="600"/>
        <w:textAlignment w:val="auto"/>
        <w:rPr>
          <w:szCs w:val="30"/>
        </w:rPr>
      </w:pPr>
      <w:r w:rsidRPr="007D477C">
        <w:rPr>
          <w:rFonts w:eastAsia="方正楷体_GBK" w:hint="eastAsia"/>
          <w:szCs w:val="30"/>
        </w:rPr>
        <w:t>（四）项目接网及消纳条件要求。</w:t>
      </w:r>
      <w:r w:rsidRPr="007D477C">
        <w:rPr>
          <w:rFonts w:hint="eastAsia"/>
          <w:szCs w:val="30"/>
        </w:rPr>
        <w:t>本地区无弃风现象或省级电网企业已出具项目具备接网和消纳的意见，或者已向省级能源主管部门统一出具接网及消纳能力的意见，参与竞争的项目具备接网和消纳条件。电网企业承诺投资建设接网及相关配套电网工程。</w:t>
      </w:r>
    </w:p>
    <w:p w:rsidR="00B05A7C" w:rsidRPr="00B05A7C" w:rsidRDefault="00B05A7C" w:rsidP="005502AE">
      <w:pPr>
        <w:adjustRightInd w:val="0"/>
        <w:snapToGrid w:val="0"/>
        <w:ind w:firstLine="643"/>
        <w:textAlignment w:val="auto"/>
        <w:outlineLvl w:val="0"/>
        <w:rPr>
          <w:rFonts w:eastAsia="方正黑体_GBK"/>
          <w:szCs w:val="30"/>
        </w:rPr>
      </w:pPr>
      <w:r w:rsidRPr="00B05A7C">
        <w:rPr>
          <w:rFonts w:eastAsia="方正黑体_GBK" w:hint="eastAsia"/>
          <w:szCs w:val="30"/>
        </w:rPr>
        <w:t>四、竞争配置程序</w:t>
      </w:r>
    </w:p>
    <w:p w:rsidR="00B05A7C" w:rsidRPr="00B05A7C" w:rsidRDefault="00B05A7C" w:rsidP="005502AE">
      <w:pPr>
        <w:adjustRightInd w:val="0"/>
        <w:snapToGrid w:val="0"/>
        <w:ind w:firstLineChars="200" w:firstLine="600"/>
        <w:textAlignment w:val="auto"/>
        <w:rPr>
          <w:szCs w:val="30"/>
        </w:rPr>
      </w:pPr>
      <w:r w:rsidRPr="007D477C">
        <w:rPr>
          <w:rFonts w:eastAsia="方正楷体_GBK" w:hint="eastAsia"/>
          <w:szCs w:val="30"/>
        </w:rPr>
        <w:t>（一）省级能源主管部门制定风电项目竞争配置办法。</w:t>
      </w:r>
      <w:r w:rsidRPr="00B05A7C">
        <w:rPr>
          <w:rFonts w:hint="eastAsia"/>
          <w:szCs w:val="30"/>
        </w:rPr>
        <w:t>各省（自治区、直辖市）能源主管部门制定风电项目竞争配置办法，对外公布并组织竞争配置，抄送国家能源局及相关能源监管部门。原则上风电项目竞争配置由各省级能源主管部门统一组织进行。</w:t>
      </w:r>
    </w:p>
    <w:p w:rsidR="00B05A7C" w:rsidRPr="00B05A7C" w:rsidRDefault="00B05A7C" w:rsidP="005502AE">
      <w:pPr>
        <w:adjustRightInd w:val="0"/>
        <w:snapToGrid w:val="0"/>
        <w:ind w:firstLineChars="200" w:firstLine="600"/>
        <w:textAlignment w:val="auto"/>
        <w:rPr>
          <w:rFonts w:eastAsia="仿宋_GB2312"/>
          <w:szCs w:val="30"/>
        </w:rPr>
      </w:pPr>
      <w:r w:rsidRPr="007D477C">
        <w:rPr>
          <w:rFonts w:eastAsia="方正楷体_GBK" w:hint="eastAsia"/>
          <w:szCs w:val="30"/>
        </w:rPr>
        <w:t>（二）市（县）级能源主管部门推荐项目。</w:t>
      </w:r>
      <w:r w:rsidRPr="00B05A7C">
        <w:rPr>
          <w:rFonts w:hint="eastAsia"/>
          <w:szCs w:val="30"/>
        </w:rPr>
        <w:t>各市（县）级能源主管部门按照省级能源主管部门统一工作安排，对企业申报项目进行初审，并将初审后的项目推荐上报省级能源主管部门参加竞争配置。市（县）级政府部门出具推荐项目适用政策的有关文件或说明。</w:t>
      </w:r>
    </w:p>
    <w:p w:rsidR="00B05A7C" w:rsidRPr="00B05A7C" w:rsidRDefault="00B05A7C" w:rsidP="005502AE">
      <w:pPr>
        <w:adjustRightInd w:val="0"/>
        <w:snapToGrid w:val="0"/>
        <w:ind w:firstLineChars="200" w:firstLine="600"/>
        <w:textAlignment w:val="auto"/>
        <w:rPr>
          <w:szCs w:val="30"/>
        </w:rPr>
      </w:pPr>
      <w:r w:rsidRPr="007D477C">
        <w:rPr>
          <w:rFonts w:eastAsia="方正楷体_GBK" w:hint="eastAsia"/>
          <w:szCs w:val="30"/>
        </w:rPr>
        <w:t>（三）省级能源主管部门委托第三方机构评优。</w:t>
      </w:r>
      <w:r w:rsidRPr="00B05A7C">
        <w:rPr>
          <w:rFonts w:hint="eastAsia"/>
          <w:szCs w:val="30"/>
        </w:rPr>
        <w:t>各省（自治区、直辖市）能源主管部门委托第三方机构组织专家开展优选工作。评审专家应从权威专家库中客观随机抽选产生。</w:t>
      </w:r>
    </w:p>
    <w:p w:rsidR="00B05A7C" w:rsidRPr="00B05A7C" w:rsidRDefault="00B05A7C" w:rsidP="005502AE">
      <w:pPr>
        <w:adjustRightInd w:val="0"/>
        <w:snapToGrid w:val="0"/>
        <w:ind w:firstLineChars="200" w:firstLine="600"/>
        <w:textAlignment w:val="auto"/>
        <w:rPr>
          <w:szCs w:val="30"/>
        </w:rPr>
      </w:pPr>
      <w:r w:rsidRPr="007D477C">
        <w:rPr>
          <w:rFonts w:eastAsia="方正楷体_GBK"/>
          <w:szCs w:val="30"/>
        </w:rPr>
        <w:t> </w:t>
      </w:r>
      <w:r w:rsidRPr="007D477C">
        <w:rPr>
          <w:rFonts w:eastAsia="方正楷体_GBK" w:hint="eastAsia"/>
          <w:szCs w:val="30"/>
        </w:rPr>
        <w:t>（四）省级能源主管部门公示结果。</w:t>
      </w:r>
      <w:r w:rsidRPr="00B05A7C">
        <w:rPr>
          <w:rFonts w:hint="eastAsia"/>
          <w:szCs w:val="30"/>
        </w:rPr>
        <w:t>专家组以书面形式出具评审意见。各专家评审意见及结果经省（自治区、直辖市）能源主管部门审定后应在门户网站公示。</w:t>
      </w:r>
    </w:p>
    <w:p w:rsidR="00B05A7C" w:rsidRPr="00B05A7C" w:rsidRDefault="00B05A7C" w:rsidP="005502AE">
      <w:pPr>
        <w:adjustRightInd w:val="0"/>
        <w:snapToGrid w:val="0"/>
        <w:ind w:firstLineChars="200" w:firstLine="600"/>
        <w:textAlignment w:val="auto"/>
        <w:rPr>
          <w:szCs w:val="30"/>
        </w:rPr>
      </w:pPr>
      <w:r w:rsidRPr="007D477C">
        <w:rPr>
          <w:rFonts w:eastAsia="方正楷体_GBK" w:hint="eastAsia"/>
          <w:szCs w:val="30"/>
        </w:rPr>
        <w:t>（五）省级能源主管部门公布竞争配置结果。</w:t>
      </w:r>
      <w:r w:rsidRPr="00B05A7C">
        <w:rPr>
          <w:rFonts w:hint="eastAsia"/>
          <w:szCs w:val="30"/>
        </w:rPr>
        <w:t>各省（自治区、直辖市）能源主管部门依据专家评审意见和公示结果制定年度建设方案，确定各风电项目投资主体和规模，并将有关信息抄送国家能源局，在国家可再生能源信息系统填报相关信息。</w:t>
      </w:r>
    </w:p>
    <w:p w:rsidR="00B05A7C" w:rsidRPr="00B05A7C" w:rsidRDefault="00B05A7C" w:rsidP="005502AE">
      <w:pPr>
        <w:adjustRightInd w:val="0"/>
        <w:snapToGrid w:val="0"/>
        <w:ind w:firstLineChars="200" w:firstLine="600"/>
        <w:textAlignment w:val="auto"/>
        <w:rPr>
          <w:szCs w:val="30"/>
        </w:rPr>
      </w:pPr>
      <w:r w:rsidRPr="007D477C">
        <w:rPr>
          <w:rFonts w:eastAsia="方正楷体_GBK" w:hint="eastAsia"/>
          <w:szCs w:val="30"/>
        </w:rPr>
        <w:t>（六）向省级价格主管部门抄送电价信息。</w:t>
      </w:r>
      <w:r w:rsidRPr="00B05A7C">
        <w:rPr>
          <w:rFonts w:hint="eastAsia"/>
          <w:szCs w:val="30"/>
        </w:rPr>
        <w:t>按照竞争配置结果，各省（自治区、直辖市）能源主管部门将投资主体获得竞争配置的风电项目及其确定的上网电价及时抄送省级价格主管部门，执行对应上网电价及补贴政策。</w:t>
      </w:r>
    </w:p>
    <w:p w:rsidR="00B05A7C" w:rsidRPr="00B05A7C" w:rsidRDefault="00B05A7C" w:rsidP="005502AE">
      <w:pPr>
        <w:adjustRightInd w:val="0"/>
        <w:snapToGrid w:val="0"/>
        <w:ind w:firstLine="643"/>
        <w:textAlignment w:val="auto"/>
        <w:outlineLvl w:val="0"/>
        <w:rPr>
          <w:rFonts w:eastAsia="方正黑体_GBK"/>
          <w:szCs w:val="30"/>
        </w:rPr>
      </w:pPr>
      <w:r w:rsidRPr="00B05A7C">
        <w:rPr>
          <w:rFonts w:eastAsia="方正黑体_GBK" w:hint="eastAsia"/>
          <w:szCs w:val="30"/>
        </w:rPr>
        <w:t>五、竞争要素</w:t>
      </w:r>
    </w:p>
    <w:p w:rsidR="00B05A7C" w:rsidRPr="00B05A7C" w:rsidRDefault="00B05A7C" w:rsidP="005502AE">
      <w:pPr>
        <w:adjustRightInd w:val="0"/>
        <w:snapToGrid w:val="0"/>
        <w:ind w:firstLineChars="200" w:firstLine="600"/>
        <w:textAlignment w:val="auto"/>
        <w:rPr>
          <w:szCs w:val="30"/>
        </w:rPr>
      </w:pPr>
      <w:r w:rsidRPr="00B05A7C">
        <w:rPr>
          <w:rFonts w:hint="eastAsia"/>
          <w:szCs w:val="30"/>
        </w:rPr>
        <w:t>各省（自治区、直辖市）能源主管部门制定的竞争配置办法应包含项目方案及技术先进性、前期工作深度、上网电价等竞争要素。不论采取何种基于市场竞争的配置方式，均应将上网电价作为重要竞争条件，所需补贴强度低的项目优先列入年度建设方案。企业承诺的上网电价不应高于项目所在区域的风电标杆上网电价。</w:t>
      </w:r>
    </w:p>
    <w:p w:rsidR="00B05A7C" w:rsidRPr="00B05A7C" w:rsidRDefault="00B05A7C" w:rsidP="005502AE">
      <w:pPr>
        <w:adjustRightInd w:val="0"/>
        <w:snapToGrid w:val="0"/>
        <w:ind w:firstLineChars="200" w:firstLine="600"/>
        <w:textAlignment w:val="auto"/>
        <w:outlineLvl w:val="1"/>
        <w:rPr>
          <w:rFonts w:eastAsia="方正楷体_GBK"/>
          <w:szCs w:val="30"/>
        </w:rPr>
      </w:pPr>
      <w:r w:rsidRPr="00B05A7C">
        <w:rPr>
          <w:rFonts w:eastAsia="方正楷体_GBK" w:hint="eastAsia"/>
          <w:szCs w:val="30"/>
        </w:rPr>
        <w:t>（一）已确定投资主体项目的竞争要素</w:t>
      </w:r>
    </w:p>
    <w:p w:rsidR="00B05A7C" w:rsidRPr="00B05A7C" w:rsidRDefault="00B05A7C" w:rsidP="005502AE">
      <w:pPr>
        <w:adjustRightInd w:val="0"/>
        <w:snapToGrid w:val="0"/>
        <w:ind w:firstLineChars="200" w:firstLine="600"/>
        <w:textAlignment w:val="auto"/>
        <w:rPr>
          <w:szCs w:val="30"/>
        </w:rPr>
      </w:pPr>
      <w:r w:rsidRPr="00B05A7C">
        <w:rPr>
          <w:rFonts w:eastAsia="方正楷体_GBK"/>
          <w:szCs w:val="30"/>
        </w:rPr>
        <w:t>1.</w:t>
      </w:r>
      <w:r w:rsidRPr="00B05A7C">
        <w:rPr>
          <w:rFonts w:eastAsia="方正楷体_GBK" w:hint="eastAsia"/>
          <w:szCs w:val="30"/>
        </w:rPr>
        <w:t>企业能力。</w:t>
      </w:r>
      <w:r w:rsidRPr="00B05A7C">
        <w:rPr>
          <w:rFonts w:hint="eastAsia"/>
          <w:szCs w:val="30"/>
        </w:rPr>
        <w:t>包括投资能力、业绩、技术能力、企业诚信履约情况评价。</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2</w:t>
      </w:r>
      <w:r w:rsidRPr="00B05A7C">
        <w:rPr>
          <w:rFonts w:eastAsia="方正楷体_GBK"/>
          <w:szCs w:val="30"/>
        </w:rPr>
        <w:t>.</w:t>
      </w:r>
      <w:r w:rsidRPr="00B05A7C">
        <w:rPr>
          <w:rFonts w:eastAsia="方正楷体_GBK" w:hint="eastAsia"/>
          <w:szCs w:val="30"/>
        </w:rPr>
        <w:t>设备先进性。</w:t>
      </w:r>
      <w:r w:rsidRPr="00B05A7C">
        <w:rPr>
          <w:rFonts w:hint="eastAsia"/>
          <w:szCs w:val="30"/>
        </w:rPr>
        <w:t>包括风电机组选型、风能利用系数、动态功率曲线保障、风电机组认证情况。</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3</w:t>
      </w:r>
      <w:r w:rsidRPr="00B05A7C">
        <w:rPr>
          <w:rFonts w:eastAsia="方正楷体_GBK"/>
          <w:szCs w:val="30"/>
        </w:rPr>
        <w:t>.</w:t>
      </w:r>
      <w:r w:rsidRPr="00B05A7C">
        <w:rPr>
          <w:rFonts w:eastAsia="方正楷体_GBK" w:hint="eastAsia"/>
          <w:szCs w:val="30"/>
        </w:rPr>
        <w:t>技术方案。</w:t>
      </w:r>
      <w:r w:rsidRPr="00B05A7C">
        <w:rPr>
          <w:rFonts w:hint="eastAsia"/>
          <w:szCs w:val="30"/>
        </w:rPr>
        <w:t>包括充分利用资源条件、优化技术方案、利用小时测算、智能化控制运行维护、退役及拆除方案、经济合理性等。</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4</w:t>
      </w:r>
      <w:r w:rsidRPr="00B05A7C">
        <w:rPr>
          <w:rFonts w:eastAsia="方正楷体_GBK"/>
          <w:szCs w:val="30"/>
        </w:rPr>
        <w:t>.</w:t>
      </w:r>
      <w:r w:rsidRPr="00B05A7C">
        <w:rPr>
          <w:rFonts w:eastAsia="方正楷体_GBK" w:hint="eastAsia"/>
          <w:szCs w:val="30"/>
        </w:rPr>
        <w:t>已开展前期工作。</w:t>
      </w:r>
      <w:r w:rsidRPr="00B05A7C">
        <w:rPr>
          <w:rFonts w:hint="eastAsia"/>
          <w:szCs w:val="30"/>
        </w:rPr>
        <w:t>包括项目总体规划、测风及风能资源评估、可行性研究设计、已取得的支持性文件等。</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5</w:t>
      </w:r>
      <w:r w:rsidRPr="00B05A7C">
        <w:rPr>
          <w:rFonts w:eastAsia="方正楷体_GBK"/>
          <w:szCs w:val="30"/>
        </w:rPr>
        <w:t>.</w:t>
      </w:r>
      <w:r w:rsidRPr="00B05A7C">
        <w:rPr>
          <w:rFonts w:eastAsia="方正楷体_GBK" w:hint="eastAsia"/>
          <w:szCs w:val="30"/>
        </w:rPr>
        <w:t>接入消纳条件。</w:t>
      </w:r>
      <w:r w:rsidRPr="00B05A7C">
        <w:rPr>
          <w:rFonts w:hint="eastAsia"/>
          <w:szCs w:val="30"/>
        </w:rPr>
        <w:t>委托电网企业开展接入系统和消纳能力分析结果。</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6</w:t>
      </w:r>
      <w:r w:rsidRPr="00B05A7C">
        <w:rPr>
          <w:rFonts w:eastAsia="方正楷体_GBK"/>
          <w:szCs w:val="30"/>
        </w:rPr>
        <w:t>.</w:t>
      </w:r>
      <w:r w:rsidRPr="00B05A7C">
        <w:rPr>
          <w:rFonts w:eastAsia="方正楷体_GBK" w:hint="eastAsia"/>
          <w:szCs w:val="30"/>
        </w:rPr>
        <w:t>申报电价。</w:t>
      </w:r>
      <w:r w:rsidRPr="00B05A7C">
        <w:rPr>
          <w:rFonts w:hint="eastAsia"/>
          <w:szCs w:val="30"/>
        </w:rPr>
        <w:t>测算提出合理收益条件下的</w:t>
      </w:r>
      <w:r w:rsidRPr="00B05A7C">
        <w:rPr>
          <w:szCs w:val="30"/>
        </w:rPr>
        <w:t>20</w:t>
      </w:r>
      <w:r w:rsidRPr="00B05A7C">
        <w:rPr>
          <w:rFonts w:hint="eastAsia"/>
          <w:szCs w:val="30"/>
        </w:rPr>
        <w:t>年固定上网电价。若考虑与全额保障性收购办法衔接，可要求按照最低保障性小时数报价，超出部分市场定价，按最低保障性小时数内电价评分。</w:t>
      </w:r>
    </w:p>
    <w:p w:rsidR="00B05A7C" w:rsidRPr="00B05A7C" w:rsidRDefault="00B05A7C" w:rsidP="005502AE">
      <w:pPr>
        <w:adjustRightInd w:val="0"/>
        <w:snapToGrid w:val="0"/>
        <w:ind w:firstLineChars="200" w:firstLine="600"/>
        <w:textAlignment w:val="auto"/>
        <w:rPr>
          <w:szCs w:val="30"/>
        </w:rPr>
      </w:pPr>
      <w:r w:rsidRPr="00B05A7C">
        <w:rPr>
          <w:rFonts w:hint="eastAsia"/>
          <w:szCs w:val="30"/>
        </w:rPr>
        <w:t>各省级能源主管部门自行制定竞争配置评分细则，可采取综合评分法，其中电价权重不得低于</w:t>
      </w:r>
      <w:r w:rsidRPr="00B05A7C">
        <w:rPr>
          <w:rFonts w:hint="eastAsia"/>
          <w:szCs w:val="30"/>
        </w:rPr>
        <w:t>40%</w:t>
      </w:r>
      <w:r w:rsidRPr="00B05A7C">
        <w:rPr>
          <w:rFonts w:hint="eastAsia"/>
          <w:szCs w:val="30"/>
        </w:rPr>
        <w:t>。也可采取先技术评选，再电价比选的方式，按电价由低到高排序分配完为止。</w:t>
      </w:r>
    </w:p>
    <w:p w:rsidR="00B05A7C" w:rsidRPr="00B05A7C" w:rsidRDefault="00B05A7C" w:rsidP="005502AE">
      <w:pPr>
        <w:adjustRightInd w:val="0"/>
        <w:snapToGrid w:val="0"/>
        <w:ind w:firstLineChars="200" w:firstLine="600"/>
        <w:textAlignment w:val="auto"/>
        <w:outlineLvl w:val="1"/>
        <w:rPr>
          <w:rFonts w:eastAsia="方正楷体_GBK"/>
          <w:szCs w:val="30"/>
        </w:rPr>
      </w:pPr>
      <w:r w:rsidRPr="00B05A7C">
        <w:rPr>
          <w:rFonts w:eastAsia="方正楷体_GBK" w:hint="eastAsia"/>
          <w:szCs w:val="30"/>
        </w:rPr>
        <w:t>（二）未确定投资主体项目的竞争要素</w:t>
      </w:r>
    </w:p>
    <w:p w:rsidR="00B05A7C" w:rsidRPr="00B05A7C" w:rsidRDefault="00B05A7C" w:rsidP="005502AE">
      <w:pPr>
        <w:adjustRightInd w:val="0"/>
        <w:snapToGrid w:val="0"/>
        <w:ind w:firstLineChars="200" w:firstLine="600"/>
        <w:textAlignment w:val="auto"/>
        <w:rPr>
          <w:rFonts w:eastAsia="方正楷体_GBK"/>
          <w:szCs w:val="30"/>
        </w:rPr>
      </w:pPr>
      <w:r w:rsidRPr="00B05A7C">
        <w:rPr>
          <w:rFonts w:eastAsia="方正楷体_GBK"/>
          <w:szCs w:val="30"/>
        </w:rPr>
        <w:t>1.</w:t>
      </w:r>
      <w:r w:rsidRPr="00B05A7C">
        <w:rPr>
          <w:rFonts w:eastAsia="方正楷体_GBK" w:hint="eastAsia"/>
          <w:szCs w:val="30"/>
        </w:rPr>
        <w:t>企业能力。</w:t>
      </w:r>
      <w:r w:rsidRPr="00B05A7C">
        <w:rPr>
          <w:rFonts w:hint="eastAsia"/>
          <w:szCs w:val="30"/>
        </w:rPr>
        <w:t>包括投资能力、业绩、技术能力、企业诚信履约情况评价。</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2</w:t>
      </w:r>
      <w:r w:rsidRPr="00B05A7C">
        <w:rPr>
          <w:rFonts w:eastAsia="方正楷体_GBK"/>
          <w:szCs w:val="30"/>
        </w:rPr>
        <w:t>.</w:t>
      </w:r>
      <w:r w:rsidRPr="00B05A7C">
        <w:rPr>
          <w:rFonts w:eastAsia="方正楷体_GBK" w:hint="eastAsia"/>
          <w:szCs w:val="30"/>
        </w:rPr>
        <w:t>设备先进性。</w:t>
      </w:r>
      <w:r w:rsidRPr="00B05A7C">
        <w:rPr>
          <w:rFonts w:hint="eastAsia"/>
          <w:szCs w:val="30"/>
        </w:rPr>
        <w:t>包括风电机组选型、风能利用系数、动态功率曲线保障、风电机组认证情况。</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3</w:t>
      </w:r>
      <w:r w:rsidRPr="00B05A7C">
        <w:rPr>
          <w:rFonts w:eastAsia="方正楷体_GBK"/>
          <w:szCs w:val="30"/>
        </w:rPr>
        <w:t>.</w:t>
      </w:r>
      <w:r w:rsidRPr="00B05A7C">
        <w:rPr>
          <w:rFonts w:eastAsia="方正楷体_GBK" w:hint="eastAsia"/>
          <w:szCs w:val="30"/>
        </w:rPr>
        <w:t>技术方案。</w:t>
      </w:r>
      <w:r w:rsidRPr="00B05A7C">
        <w:rPr>
          <w:rFonts w:hint="eastAsia"/>
          <w:szCs w:val="30"/>
        </w:rPr>
        <w:t>包括充分利用资源条件、优化技术方案、利用小时测算、智能化控制运行维护、退役及拆除方案、经济合理性等。</w:t>
      </w:r>
    </w:p>
    <w:p w:rsidR="00B05A7C" w:rsidRPr="00B05A7C" w:rsidRDefault="00B05A7C" w:rsidP="005502AE">
      <w:pPr>
        <w:adjustRightInd w:val="0"/>
        <w:snapToGrid w:val="0"/>
        <w:ind w:firstLineChars="200" w:firstLine="600"/>
        <w:textAlignment w:val="auto"/>
        <w:rPr>
          <w:szCs w:val="30"/>
        </w:rPr>
      </w:pPr>
      <w:r w:rsidRPr="00B05A7C">
        <w:rPr>
          <w:rFonts w:eastAsia="方正楷体_GBK" w:hint="eastAsia"/>
          <w:szCs w:val="30"/>
        </w:rPr>
        <w:t>4</w:t>
      </w:r>
      <w:r w:rsidRPr="00B05A7C">
        <w:rPr>
          <w:rFonts w:eastAsia="方正楷体_GBK"/>
          <w:szCs w:val="30"/>
        </w:rPr>
        <w:t>.</w:t>
      </w:r>
      <w:r w:rsidRPr="00B05A7C">
        <w:rPr>
          <w:rFonts w:eastAsia="方正楷体_GBK" w:hint="eastAsia"/>
          <w:szCs w:val="30"/>
        </w:rPr>
        <w:t>申报电价。</w:t>
      </w:r>
      <w:r w:rsidRPr="00B05A7C">
        <w:rPr>
          <w:rFonts w:hint="eastAsia"/>
          <w:szCs w:val="30"/>
        </w:rPr>
        <w:t>测算提出合理收益条件下的</w:t>
      </w:r>
      <w:r w:rsidRPr="00B05A7C">
        <w:rPr>
          <w:szCs w:val="30"/>
        </w:rPr>
        <w:t>20</w:t>
      </w:r>
      <w:r w:rsidRPr="00B05A7C">
        <w:rPr>
          <w:rFonts w:hint="eastAsia"/>
          <w:szCs w:val="30"/>
        </w:rPr>
        <w:t>年固定上网电价。若考虑与全额保障性收购办法衔接，可要求按照最低保障小</w:t>
      </w:r>
      <w:r w:rsidR="00AD0893" w:rsidRPr="00B05A7C">
        <w:rPr>
          <w:rFonts w:hint="eastAsia"/>
          <w:szCs w:val="30"/>
        </w:rPr>
        <w:t>时</w:t>
      </w:r>
      <w:r w:rsidRPr="00B05A7C">
        <w:rPr>
          <w:rFonts w:hint="eastAsia"/>
          <w:szCs w:val="30"/>
        </w:rPr>
        <w:t>数报价，超出部分市场定价，按最低保障性小时数内电价评分。</w:t>
      </w:r>
    </w:p>
    <w:p w:rsidR="00B05A7C" w:rsidRPr="007D477C" w:rsidRDefault="00B05A7C" w:rsidP="005502AE">
      <w:pPr>
        <w:adjustRightInd w:val="0"/>
        <w:snapToGrid w:val="0"/>
        <w:ind w:firstLineChars="200" w:firstLine="600"/>
        <w:textAlignment w:val="auto"/>
        <w:rPr>
          <w:szCs w:val="30"/>
        </w:rPr>
      </w:pPr>
      <w:r w:rsidRPr="007D477C">
        <w:rPr>
          <w:rFonts w:hint="eastAsia"/>
          <w:szCs w:val="30"/>
        </w:rPr>
        <w:t>原则上采取综合评分法，其中电价权重不得低于</w:t>
      </w:r>
      <w:r w:rsidRPr="007D477C">
        <w:rPr>
          <w:rFonts w:hint="eastAsia"/>
          <w:szCs w:val="30"/>
        </w:rPr>
        <w:t>40%</w:t>
      </w:r>
      <w:r w:rsidRPr="007D477C">
        <w:rPr>
          <w:rFonts w:hint="eastAsia"/>
          <w:szCs w:val="30"/>
        </w:rPr>
        <w:t>。</w:t>
      </w:r>
    </w:p>
    <w:p w:rsidR="001451DE" w:rsidRPr="007D477C" w:rsidRDefault="001451DE" w:rsidP="00314136">
      <w:pPr>
        <w:tabs>
          <w:tab w:val="center" w:pos="4620"/>
          <w:tab w:val="right" w:pos="9241"/>
        </w:tabs>
        <w:rPr>
          <w:rFonts w:eastAsia="黑体" w:cs="Calibri"/>
          <w:color w:val="000000"/>
          <w:szCs w:val="30"/>
        </w:rPr>
      </w:pPr>
    </w:p>
    <w:p w:rsidR="001451DE" w:rsidRPr="007D477C" w:rsidRDefault="001451DE" w:rsidP="00314136">
      <w:pPr>
        <w:tabs>
          <w:tab w:val="center" w:pos="4620"/>
          <w:tab w:val="right" w:pos="9241"/>
        </w:tabs>
        <w:rPr>
          <w:rFonts w:eastAsia="黑体" w:cs="Calibri"/>
          <w:color w:val="000000"/>
          <w:szCs w:val="30"/>
        </w:rPr>
      </w:pPr>
    </w:p>
    <w:sectPr w:rsidR="001451DE" w:rsidRPr="007D477C" w:rsidSect="00AD0893">
      <w:headerReference w:type="even" r:id="rId7"/>
      <w:headerReference w:type="default" r:id="rId8"/>
      <w:footerReference w:type="even" r:id="rId9"/>
      <w:footerReference w:type="default" r:id="rId10"/>
      <w:pgSz w:w="11906" w:h="16838" w:code="9"/>
      <w:pgMar w:top="1985" w:right="1616" w:bottom="1814" w:left="1616" w:header="851" w:footer="1474" w:gutter="0"/>
      <w:pgNumType w:start="6"/>
      <w:cols w:space="425"/>
      <w:docGrid w:type="lines" w:linePitch="5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C3" w:rsidRDefault="00B037C3" w:rsidP="00D72D8B">
      <w:pPr>
        <w:spacing w:line="240" w:lineRule="auto"/>
      </w:pPr>
      <w:r>
        <w:separator/>
      </w:r>
    </w:p>
  </w:endnote>
  <w:endnote w:type="continuationSeparator" w:id="0">
    <w:p w:rsidR="00B037C3" w:rsidRDefault="00B037C3" w:rsidP="00D7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80" w:rsidRPr="00C915BA" w:rsidRDefault="00564D80" w:rsidP="0064642D">
    <w:pPr>
      <w:pStyle w:val="a4"/>
      <w:ind w:right="141" w:firstLineChars="50" w:firstLine="146"/>
      <w:rPr>
        <w:rFonts w:ascii="Times New Roman" w:eastAsia="仿宋_GB2312" w:hAnsi="Times New Roman"/>
        <w:caps/>
        <w:sz w:val="28"/>
        <w:szCs w:val="28"/>
      </w:rPr>
    </w:pPr>
    <w:r w:rsidRPr="001451DE">
      <w:rPr>
        <w:rFonts w:asciiTheme="minorEastAsia" w:eastAsiaTheme="minorEastAsia" w:hAnsiTheme="minorEastAsia"/>
        <w:caps/>
        <w:sz w:val="28"/>
        <w:szCs w:val="28"/>
      </w:rPr>
      <w:t>—</w:t>
    </w:r>
    <w:r w:rsidRPr="007A5C01">
      <w:rPr>
        <w:rFonts w:ascii="方正仿宋_GBK" w:hAnsi="Times New Roman" w:hint="eastAsia"/>
        <w:caps/>
        <w:sz w:val="28"/>
        <w:szCs w:val="28"/>
      </w:rPr>
      <w:t xml:space="preserve"> </w:t>
    </w:r>
    <w:r w:rsidR="006479CA" w:rsidRPr="00C915BA">
      <w:rPr>
        <w:rFonts w:ascii="Times New Roman" w:eastAsia="仿宋_GB2312" w:hAnsi="Times New Roman"/>
        <w:caps/>
        <w:sz w:val="28"/>
        <w:szCs w:val="28"/>
      </w:rPr>
      <w:fldChar w:fldCharType="begin"/>
    </w:r>
    <w:r w:rsidRPr="00C915BA">
      <w:rPr>
        <w:rFonts w:ascii="Times New Roman" w:eastAsia="仿宋_GB2312" w:hAnsi="Times New Roman"/>
        <w:caps/>
        <w:sz w:val="28"/>
        <w:szCs w:val="28"/>
      </w:rPr>
      <w:instrText>PAGE   \* MERGEFORMAT</w:instrText>
    </w:r>
    <w:r w:rsidR="006479CA" w:rsidRPr="00C915BA">
      <w:rPr>
        <w:rFonts w:ascii="Times New Roman" w:eastAsia="仿宋_GB2312" w:hAnsi="Times New Roman"/>
        <w:caps/>
        <w:sz w:val="28"/>
        <w:szCs w:val="28"/>
      </w:rPr>
      <w:fldChar w:fldCharType="separate"/>
    </w:r>
    <w:r w:rsidR="00B037C3" w:rsidRPr="00B037C3">
      <w:rPr>
        <w:rFonts w:ascii="Times New Roman" w:eastAsia="仿宋_GB2312" w:hAnsi="Times New Roman"/>
        <w:caps/>
        <w:noProof/>
        <w:sz w:val="28"/>
        <w:szCs w:val="28"/>
        <w:lang w:val="zh-CN"/>
      </w:rPr>
      <w:t>6</w:t>
    </w:r>
    <w:r w:rsidR="006479CA" w:rsidRPr="00C915BA">
      <w:rPr>
        <w:rFonts w:ascii="Times New Roman" w:eastAsia="仿宋_GB2312" w:hAnsi="Times New Roman"/>
        <w:caps/>
        <w:sz w:val="28"/>
        <w:szCs w:val="28"/>
      </w:rPr>
      <w:fldChar w:fldCharType="end"/>
    </w:r>
    <w:r w:rsidRPr="007A5C01">
      <w:rPr>
        <w:rFonts w:ascii="方正仿宋_GBK" w:hAnsi="Times New Roman" w:hint="eastAsia"/>
        <w:caps/>
        <w:sz w:val="28"/>
        <w:szCs w:val="28"/>
      </w:rPr>
      <w:t xml:space="preserve"> </w:t>
    </w:r>
    <w:r w:rsidRPr="001451DE">
      <w:rPr>
        <w:rFonts w:asciiTheme="minorEastAsia" w:eastAsiaTheme="minorEastAsia" w:hAnsiTheme="minorEastAsia"/>
        <w:caps/>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315" w:rsidRPr="00301315" w:rsidRDefault="00301315" w:rsidP="00301315">
    <w:pPr>
      <w:pStyle w:val="a4"/>
      <w:ind w:right="141"/>
      <w:jc w:val="right"/>
      <w:rPr>
        <w:rFonts w:ascii="仿宋_GB2312" w:eastAsia="仿宋_GB2312" w:hAnsi="宋体"/>
        <w:caps/>
        <w:sz w:val="28"/>
        <w:szCs w:val="28"/>
      </w:rPr>
    </w:pPr>
    <w:r>
      <w:rPr>
        <w:rFonts w:ascii="仿宋_GB2312" w:eastAsia="仿宋_GB2312" w:hAnsi="宋体"/>
        <w:caps/>
        <w:sz w:val="28"/>
        <w:szCs w:val="28"/>
      </w:rPr>
      <w:t>—</w:t>
    </w:r>
    <w:r w:rsidRPr="007A5C01">
      <w:rPr>
        <w:rFonts w:ascii="方正仿宋_GBK" w:hAnsi="宋体" w:hint="eastAsia"/>
        <w:caps/>
        <w:sz w:val="28"/>
        <w:szCs w:val="28"/>
      </w:rPr>
      <w:t xml:space="preserve"> </w:t>
    </w:r>
    <w:r w:rsidR="006479CA" w:rsidRPr="00945B2F">
      <w:rPr>
        <w:rFonts w:ascii="Times New Roman" w:eastAsia="仿宋_GB2312" w:hAnsi="Times New Roman"/>
        <w:caps/>
        <w:sz w:val="28"/>
        <w:szCs w:val="28"/>
      </w:rPr>
      <w:fldChar w:fldCharType="begin"/>
    </w:r>
    <w:r w:rsidRPr="00945B2F">
      <w:rPr>
        <w:rFonts w:ascii="Times New Roman" w:eastAsia="仿宋_GB2312" w:hAnsi="Times New Roman"/>
        <w:caps/>
        <w:sz w:val="28"/>
        <w:szCs w:val="28"/>
      </w:rPr>
      <w:instrText>PAGE   \* MERGEFORMAT</w:instrText>
    </w:r>
    <w:r w:rsidR="006479CA" w:rsidRPr="00945B2F">
      <w:rPr>
        <w:rFonts w:ascii="Times New Roman" w:eastAsia="仿宋_GB2312" w:hAnsi="Times New Roman"/>
        <w:caps/>
        <w:sz w:val="28"/>
        <w:szCs w:val="28"/>
      </w:rPr>
      <w:fldChar w:fldCharType="separate"/>
    </w:r>
    <w:r w:rsidR="00AD0893" w:rsidRPr="00AD0893">
      <w:rPr>
        <w:rFonts w:ascii="Times New Roman" w:eastAsia="仿宋_GB2312" w:hAnsi="Times New Roman"/>
        <w:caps/>
        <w:noProof/>
        <w:sz w:val="28"/>
        <w:szCs w:val="28"/>
        <w:lang w:val="zh-CN"/>
      </w:rPr>
      <w:t>7</w:t>
    </w:r>
    <w:r w:rsidR="006479CA" w:rsidRPr="00945B2F">
      <w:rPr>
        <w:rFonts w:ascii="Times New Roman" w:eastAsia="仿宋_GB2312" w:hAnsi="Times New Roman"/>
        <w:caps/>
        <w:sz w:val="28"/>
        <w:szCs w:val="28"/>
      </w:rPr>
      <w:fldChar w:fldCharType="end"/>
    </w:r>
    <w:r w:rsidRPr="007A5C01">
      <w:rPr>
        <w:rFonts w:ascii="方正仿宋_GBK" w:hAnsi="宋体" w:hint="eastAsia"/>
        <w:caps/>
        <w:sz w:val="28"/>
        <w:szCs w:val="28"/>
      </w:rPr>
      <w:t xml:space="preserve"> </w:t>
    </w:r>
    <w:r>
      <w:rPr>
        <w:rFonts w:ascii="仿宋_GB2312" w:eastAsia="仿宋_GB2312" w:hAnsi="宋体"/>
        <w:caps/>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C3" w:rsidRDefault="00B037C3" w:rsidP="00D72D8B">
      <w:pPr>
        <w:spacing w:line="240" w:lineRule="auto"/>
      </w:pPr>
      <w:r>
        <w:separator/>
      </w:r>
    </w:p>
  </w:footnote>
  <w:footnote w:type="continuationSeparator" w:id="0">
    <w:p w:rsidR="00B037C3" w:rsidRDefault="00B037C3" w:rsidP="00D72D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A6" w:rsidRDefault="001633A6" w:rsidP="001633A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A6" w:rsidRDefault="001633A6" w:rsidP="001633A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2593B"/>
    <w:multiLevelType w:val="hybridMultilevel"/>
    <w:tmpl w:val="0B0057B0"/>
    <w:lvl w:ilvl="0" w:tplc="0CE61AE6">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144E61"/>
    <w:multiLevelType w:val="hybridMultilevel"/>
    <w:tmpl w:val="3ED863BA"/>
    <w:lvl w:ilvl="0" w:tplc="757C8CC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C371FC"/>
    <w:multiLevelType w:val="hybridMultilevel"/>
    <w:tmpl w:val="65B8AE00"/>
    <w:lvl w:ilvl="0" w:tplc="02E0BB1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0"/>
  <w:drawingGridVerticalSpacing w:val="294"/>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0NzQzNjYzNjA0tDS3MLFQ0lEKTi0uzszPAykwrAUAE/69DywAAAA="/>
  </w:docVars>
  <w:rsids>
    <w:rsidRoot w:val="00AD7B0E"/>
    <w:rsid w:val="00020571"/>
    <w:rsid w:val="00024792"/>
    <w:rsid w:val="00024AFC"/>
    <w:rsid w:val="00025BBA"/>
    <w:rsid w:val="00052C3B"/>
    <w:rsid w:val="000615ED"/>
    <w:rsid w:val="0006179A"/>
    <w:rsid w:val="0006354B"/>
    <w:rsid w:val="0006790E"/>
    <w:rsid w:val="00073FF0"/>
    <w:rsid w:val="0007471F"/>
    <w:rsid w:val="000751D4"/>
    <w:rsid w:val="000A3547"/>
    <w:rsid w:val="000A361D"/>
    <w:rsid w:val="000D7E2E"/>
    <w:rsid w:val="000E0B38"/>
    <w:rsid w:val="000F4009"/>
    <w:rsid w:val="000F716E"/>
    <w:rsid w:val="0013156A"/>
    <w:rsid w:val="001451DE"/>
    <w:rsid w:val="001633A6"/>
    <w:rsid w:val="001E5835"/>
    <w:rsid w:val="00272134"/>
    <w:rsid w:val="00280636"/>
    <w:rsid w:val="002A6ECB"/>
    <w:rsid w:val="002B76A8"/>
    <w:rsid w:val="00301315"/>
    <w:rsid w:val="00314136"/>
    <w:rsid w:val="00356E67"/>
    <w:rsid w:val="0037723D"/>
    <w:rsid w:val="00380DBC"/>
    <w:rsid w:val="00384B71"/>
    <w:rsid w:val="003976BE"/>
    <w:rsid w:val="003A1A8F"/>
    <w:rsid w:val="00400F9F"/>
    <w:rsid w:val="004104BD"/>
    <w:rsid w:val="004113EE"/>
    <w:rsid w:val="00467DC3"/>
    <w:rsid w:val="00497D70"/>
    <w:rsid w:val="004D11F3"/>
    <w:rsid w:val="004D6D93"/>
    <w:rsid w:val="00531704"/>
    <w:rsid w:val="00541A72"/>
    <w:rsid w:val="005502AE"/>
    <w:rsid w:val="00564D80"/>
    <w:rsid w:val="00596190"/>
    <w:rsid w:val="005E76D4"/>
    <w:rsid w:val="005F3652"/>
    <w:rsid w:val="005F7B86"/>
    <w:rsid w:val="00622093"/>
    <w:rsid w:val="006302F9"/>
    <w:rsid w:val="00640F6F"/>
    <w:rsid w:val="0064642D"/>
    <w:rsid w:val="006479CA"/>
    <w:rsid w:val="0077623C"/>
    <w:rsid w:val="00781AB2"/>
    <w:rsid w:val="007A511E"/>
    <w:rsid w:val="007A5C01"/>
    <w:rsid w:val="007B4771"/>
    <w:rsid w:val="007C7B8D"/>
    <w:rsid w:val="007D477C"/>
    <w:rsid w:val="007D68E4"/>
    <w:rsid w:val="007F6613"/>
    <w:rsid w:val="008127CA"/>
    <w:rsid w:val="00866907"/>
    <w:rsid w:val="00873FA1"/>
    <w:rsid w:val="00874A51"/>
    <w:rsid w:val="00887A2B"/>
    <w:rsid w:val="008A4AAE"/>
    <w:rsid w:val="008C7AE3"/>
    <w:rsid w:val="0091645A"/>
    <w:rsid w:val="0094173F"/>
    <w:rsid w:val="00945B2F"/>
    <w:rsid w:val="00970C7B"/>
    <w:rsid w:val="00971DF7"/>
    <w:rsid w:val="009920FB"/>
    <w:rsid w:val="009B5FA6"/>
    <w:rsid w:val="009B6C15"/>
    <w:rsid w:val="009F5930"/>
    <w:rsid w:val="00A36722"/>
    <w:rsid w:val="00A824E3"/>
    <w:rsid w:val="00AA7C56"/>
    <w:rsid w:val="00AD0893"/>
    <w:rsid w:val="00AD7B0E"/>
    <w:rsid w:val="00B037C3"/>
    <w:rsid w:val="00B05A7C"/>
    <w:rsid w:val="00B10A34"/>
    <w:rsid w:val="00B2357C"/>
    <w:rsid w:val="00B3446D"/>
    <w:rsid w:val="00B607F0"/>
    <w:rsid w:val="00B660B2"/>
    <w:rsid w:val="00BC1CD8"/>
    <w:rsid w:val="00BD156F"/>
    <w:rsid w:val="00C03862"/>
    <w:rsid w:val="00C23F79"/>
    <w:rsid w:val="00C4108C"/>
    <w:rsid w:val="00C45507"/>
    <w:rsid w:val="00C915BA"/>
    <w:rsid w:val="00C92663"/>
    <w:rsid w:val="00CA38DE"/>
    <w:rsid w:val="00CB041A"/>
    <w:rsid w:val="00CB15B2"/>
    <w:rsid w:val="00CC208C"/>
    <w:rsid w:val="00CD50B1"/>
    <w:rsid w:val="00D01BC6"/>
    <w:rsid w:val="00D50B3D"/>
    <w:rsid w:val="00D51609"/>
    <w:rsid w:val="00D67466"/>
    <w:rsid w:val="00D72D8B"/>
    <w:rsid w:val="00D9674A"/>
    <w:rsid w:val="00DF0B48"/>
    <w:rsid w:val="00E1137D"/>
    <w:rsid w:val="00EB1108"/>
    <w:rsid w:val="00F3273D"/>
    <w:rsid w:val="00F6247F"/>
    <w:rsid w:val="00FA60EB"/>
    <w:rsid w:val="00FC5EA1"/>
    <w:rsid w:val="00FE22AB"/>
    <w:rsid w:val="00FF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376D5-80B4-4C78-B9B1-8D4214E7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704"/>
    <w:pPr>
      <w:widowControl w:val="0"/>
      <w:spacing w:line="588" w:lineRule="exact"/>
      <w:jc w:val="both"/>
      <w:textAlignment w:val="center"/>
    </w:pPr>
    <w:rPr>
      <w:rFonts w:ascii="Times New Roman" w:eastAsia="方正仿宋_GBK" w:hAnsi="Times New Roman"/>
      <w:kern w:val="2"/>
      <w:sz w:val="30"/>
      <w:szCs w:val="22"/>
    </w:rPr>
  </w:style>
  <w:style w:type="paragraph" w:styleId="1">
    <w:name w:val="heading 1"/>
    <w:aliases w:val="委标题 1"/>
    <w:basedOn w:val="a"/>
    <w:next w:val="a"/>
    <w:link w:val="1Char"/>
    <w:uiPriority w:val="9"/>
    <w:qFormat/>
    <w:rsid w:val="00C23F79"/>
    <w:pPr>
      <w:keepNext/>
      <w:keepLines/>
      <w:outlineLvl w:val="0"/>
    </w:pPr>
    <w:rPr>
      <w:rFonts w:ascii="Calibri" w:eastAsia="方正黑体_GBK" w:hAnsi="Calibri"/>
      <w:bCs/>
      <w:kern w:val="44"/>
      <w:szCs w:val="44"/>
    </w:rPr>
  </w:style>
  <w:style w:type="paragraph" w:styleId="2">
    <w:name w:val="heading 2"/>
    <w:aliases w:val="委标题 2"/>
    <w:basedOn w:val="a"/>
    <w:next w:val="a"/>
    <w:link w:val="2Char"/>
    <w:uiPriority w:val="9"/>
    <w:unhideWhenUsed/>
    <w:qFormat/>
    <w:rsid w:val="00C23F79"/>
    <w:pPr>
      <w:keepNext/>
      <w:keepLines/>
      <w:outlineLvl w:val="1"/>
    </w:pPr>
    <w:rPr>
      <w:rFonts w:ascii="Cambria" w:eastAsia="方正楷体_GBK" w:hAnsi="Cambria"/>
      <w:bCs/>
      <w:szCs w:val="32"/>
    </w:rPr>
  </w:style>
  <w:style w:type="paragraph" w:styleId="3">
    <w:name w:val="heading 3"/>
    <w:aliases w:val="委标题 3"/>
    <w:basedOn w:val="a"/>
    <w:next w:val="a"/>
    <w:link w:val="3Char"/>
    <w:uiPriority w:val="9"/>
    <w:unhideWhenUsed/>
    <w:qFormat/>
    <w:rsid w:val="00C23F79"/>
    <w:pPr>
      <w:keepNext/>
      <w:keepLines/>
      <w:outlineLvl w:val="2"/>
    </w:pPr>
    <w:rPr>
      <w:rFonts w:ascii="Calibri" w:eastAsia="方正楷体_GBK" w:hAnsi="Calibr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D8B"/>
    <w:pPr>
      <w:pBdr>
        <w:bottom w:val="single" w:sz="6" w:space="1" w:color="auto"/>
      </w:pBdr>
      <w:tabs>
        <w:tab w:val="center" w:pos="4153"/>
        <w:tab w:val="right" w:pos="8306"/>
      </w:tabs>
      <w:snapToGrid w:val="0"/>
      <w:spacing w:line="240" w:lineRule="atLeast"/>
      <w:jc w:val="center"/>
    </w:pPr>
    <w:rPr>
      <w:rFonts w:ascii="Calibri" w:hAnsi="Calibri"/>
      <w:spacing w:val="6"/>
      <w:kern w:val="0"/>
      <w:sz w:val="18"/>
      <w:szCs w:val="18"/>
    </w:rPr>
  </w:style>
  <w:style w:type="character" w:customStyle="1" w:styleId="Char">
    <w:name w:val="页眉 Char"/>
    <w:link w:val="a3"/>
    <w:uiPriority w:val="99"/>
    <w:rsid w:val="00D72D8B"/>
    <w:rPr>
      <w:rFonts w:eastAsia="方正仿宋_GBK"/>
      <w:spacing w:val="6"/>
      <w:sz w:val="18"/>
      <w:szCs w:val="18"/>
    </w:rPr>
  </w:style>
  <w:style w:type="paragraph" w:styleId="a4">
    <w:name w:val="footer"/>
    <w:basedOn w:val="a"/>
    <w:link w:val="Char0"/>
    <w:uiPriority w:val="99"/>
    <w:unhideWhenUsed/>
    <w:rsid w:val="00D72D8B"/>
    <w:pPr>
      <w:tabs>
        <w:tab w:val="center" w:pos="4153"/>
        <w:tab w:val="right" w:pos="8306"/>
      </w:tabs>
      <w:snapToGrid w:val="0"/>
      <w:spacing w:line="240" w:lineRule="atLeast"/>
      <w:jc w:val="left"/>
    </w:pPr>
    <w:rPr>
      <w:rFonts w:ascii="Calibri" w:hAnsi="Calibri"/>
      <w:spacing w:val="6"/>
      <w:kern w:val="0"/>
      <w:sz w:val="18"/>
      <w:szCs w:val="18"/>
    </w:rPr>
  </w:style>
  <w:style w:type="character" w:customStyle="1" w:styleId="Char0">
    <w:name w:val="页脚 Char"/>
    <w:link w:val="a4"/>
    <w:uiPriority w:val="99"/>
    <w:rsid w:val="00D72D8B"/>
    <w:rPr>
      <w:rFonts w:eastAsia="方正仿宋_GBK"/>
      <w:spacing w:val="6"/>
      <w:sz w:val="18"/>
      <w:szCs w:val="18"/>
    </w:rPr>
  </w:style>
  <w:style w:type="character" w:customStyle="1" w:styleId="1Char">
    <w:name w:val="标题 1 Char"/>
    <w:aliases w:val="委标题 1 Char"/>
    <w:link w:val="1"/>
    <w:uiPriority w:val="9"/>
    <w:rsid w:val="00C23F79"/>
    <w:rPr>
      <w:rFonts w:eastAsia="方正黑体_GBK"/>
      <w:bCs/>
      <w:kern w:val="44"/>
      <w:sz w:val="30"/>
      <w:szCs w:val="44"/>
    </w:rPr>
  </w:style>
  <w:style w:type="character" w:customStyle="1" w:styleId="2Char">
    <w:name w:val="标题 2 Char"/>
    <w:aliases w:val="委标题 2 Char"/>
    <w:link w:val="2"/>
    <w:uiPriority w:val="9"/>
    <w:rsid w:val="00AA7C56"/>
    <w:rPr>
      <w:rFonts w:ascii="Cambria" w:eastAsia="方正楷体_GBK" w:hAnsi="Cambria"/>
      <w:bCs/>
      <w:kern w:val="2"/>
      <w:sz w:val="30"/>
      <w:szCs w:val="32"/>
    </w:rPr>
  </w:style>
  <w:style w:type="character" w:customStyle="1" w:styleId="3Char">
    <w:name w:val="标题 3 Char"/>
    <w:aliases w:val="委标题 3 Char"/>
    <w:link w:val="3"/>
    <w:uiPriority w:val="9"/>
    <w:rsid w:val="00AA7C56"/>
    <w:rPr>
      <w:rFonts w:eastAsia="方正楷体_GBK"/>
      <w:bCs/>
      <w:kern w:val="2"/>
      <w:sz w:val="30"/>
      <w:szCs w:val="32"/>
    </w:rPr>
  </w:style>
  <w:style w:type="paragraph" w:styleId="a5">
    <w:name w:val="Date"/>
    <w:basedOn w:val="a"/>
    <w:next w:val="a"/>
    <w:link w:val="Char1"/>
    <w:uiPriority w:val="99"/>
    <w:semiHidden/>
    <w:unhideWhenUsed/>
    <w:rsid w:val="00B10A34"/>
    <w:pPr>
      <w:ind w:leftChars="2500" w:left="100"/>
    </w:pPr>
  </w:style>
  <w:style w:type="character" w:customStyle="1" w:styleId="Char1">
    <w:name w:val="日期 Char"/>
    <w:basedOn w:val="a0"/>
    <w:link w:val="a5"/>
    <w:uiPriority w:val="99"/>
    <w:semiHidden/>
    <w:rsid w:val="00B10A34"/>
    <w:rPr>
      <w:rFonts w:ascii="Times New Roman" w:eastAsia="方正仿宋_GBK" w:hAnsi="Times New Roman"/>
      <w:kern w:val="2"/>
      <w:sz w:val="30"/>
      <w:szCs w:val="22"/>
    </w:rPr>
  </w:style>
  <w:style w:type="paragraph" w:styleId="a6">
    <w:name w:val="List Paragraph"/>
    <w:basedOn w:val="a"/>
    <w:uiPriority w:val="34"/>
    <w:qFormat/>
    <w:rsid w:val="00B05A7C"/>
    <w:pPr>
      <w:spacing w:line="240" w:lineRule="auto"/>
      <w:ind w:firstLineChars="200" w:firstLine="420"/>
      <w:textAlignment w:val="auto"/>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409</Words>
  <Characters>2336</Characters>
  <Application>Microsoft Office Word</Application>
  <DocSecurity>0</DocSecurity>
  <Lines>19</Lines>
  <Paragraphs>5</Paragraphs>
  <ScaleCrop>false</ScaleCrop>
  <Company>微软中国</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程建林</dc:creator>
  <cp:keywords/>
  <dc:description/>
  <cp:lastModifiedBy>耿 照为</cp:lastModifiedBy>
  <cp:revision>27</cp:revision>
  <cp:lastPrinted>2018-04-22T03:57:00Z</cp:lastPrinted>
  <dcterms:created xsi:type="dcterms:W3CDTF">2018-04-24T06:10:00Z</dcterms:created>
  <dcterms:modified xsi:type="dcterms:W3CDTF">2018-05-24T11:07:00Z</dcterms:modified>
</cp:coreProperties>
</file>