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40" w:lineRule="auto"/>
        <w:jc w:val="both"/>
      </w:pPr>
    </w:p>
    <w:p>
      <w:pPr>
        <w:pStyle w:val="10"/>
        <w:spacing w:line="240" w:lineRule="auto"/>
        <w:jc w:val="both"/>
      </w:pPr>
    </w:p>
    <w:p>
      <w:pPr>
        <w:pStyle w:val="10"/>
        <w:spacing w:line="240" w:lineRule="auto"/>
        <w:jc w:val="both"/>
      </w:pPr>
    </w:p>
    <w:p/>
    <w:p/>
    <w:p>
      <w:pPr>
        <w:spacing w:line="680" w:lineRule="exact"/>
        <w:ind w:firstLine="0" w:firstLineChars="0"/>
        <w:jc w:val="center"/>
        <w:textAlignment w:val="auto"/>
        <w:rPr>
          <w:rFonts w:eastAsia="方正小标宋_GBK"/>
          <w:sz w:val="40"/>
          <w:szCs w:val="40"/>
        </w:rPr>
      </w:pPr>
      <w:r>
        <w:rPr>
          <w:rFonts w:eastAsia="方正小标宋_GBK"/>
          <w:sz w:val="40"/>
          <w:szCs w:val="40"/>
        </w:rPr>
        <w:t>《关于促进新时代新能源高质量发展</w:t>
      </w:r>
      <w:r>
        <w:rPr>
          <w:rFonts w:hint="eastAsia" w:eastAsia="方正小标宋_GBK"/>
          <w:sz w:val="40"/>
          <w:szCs w:val="40"/>
        </w:rPr>
        <w:t>的</w:t>
      </w:r>
      <w:r>
        <w:rPr>
          <w:rFonts w:eastAsia="方正小标宋_GBK"/>
          <w:sz w:val="40"/>
          <w:szCs w:val="40"/>
        </w:rPr>
        <w:t>实施方案》</w:t>
      </w:r>
    </w:p>
    <w:p>
      <w:pPr>
        <w:spacing w:line="680" w:lineRule="exact"/>
        <w:ind w:firstLine="0" w:firstLineChars="0"/>
        <w:jc w:val="center"/>
        <w:textAlignment w:val="auto"/>
        <w:rPr>
          <w:rFonts w:eastAsia="方正小标宋_GBK"/>
          <w:sz w:val="40"/>
          <w:szCs w:val="40"/>
        </w:rPr>
      </w:pPr>
      <w:r>
        <w:rPr>
          <w:rFonts w:hint="eastAsia" w:eastAsia="方正小标宋_GBK"/>
          <w:sz w:val="40"/>
          <w:szCs w:val="40"/>
        </w:rPr>
        <w:t>案例</w:t>
      </w:r>
      <w:r>
        <w:rPr>
          <w:rFonts w:eastAsia="方正小标宋_GBK"/>
          <w:sz w:val="40"/>
          <w:szCs w:val="40"/>
        </w:rPr>
        <w:t>解读</w:t>
      </w:r>
    </w:p>
    <w:p>
      <w:pPr>
        <w:ind w:firstLine="800"/>
        <w:rPr>
          <w:rFonts w:ascii="方正楷体_GBK" w:eastAsia="方正楷体_GBK"/>
          <w:sz w:val="40"/>
          <w:szCs w:val="40"/>
        </w:rPr>
      </w:pPr>
    </w:p>
    <w:p/>
    <w:p/>
    <w:p/>
    <w:p/>
    <w:p/>
    <w:p/>
    <w:p/>
    <w:p/>
    <w:p>
      <w:pPr>
        <w:jc w:val="center"/>
      </w:pPr>
    </w:p>
    <w:p>
      <w:pPr>
        <w:ind w:firstLine="640"/>
        <w:jc w:val="center"/>
      </w:pPr>
      <w:r>
        <w:rPr>
          <w:rFonts w:hint="eastAsia"/>
          <w:sz w:val="32"/>
          <w:szCs w:val="32"/>
        </w:rPr>
        <w:t>《&lt;实施方案&gt;案例解读》编委会</w:t>
      </w:r>
    </w:p>
    <w:p>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7" w:h="16839"/>
          <w:pgMar w:top="1985" w:right="1616" w:bottom="1814" w:left="1616" w:header="851" w:footer="1474" w:gutter="0"/>
          <w:pgNumType w:fmt="numberInDash" w:start="1"/>
          <w:cols w:space="720" w:num="1"/>
          <w:docGrid w:type="lines" w:linePitch="408" w:charSpace="0"/>
        </w:sectPr>
      </w:pPr>
      <w:r>
        <w:t>202</w:t>
      </w:r>
      <w:r>
        <w:rPr>
          <w:rFonts w:hint="eastAsia"/>
        </w:rPr>
        <w:t>3</w:t>
      </w:r>
      <w:r>
        <w:t>年</w:t>
      </w:r>
      <w:r>
        <w:rPr>
          <w:rFonts w:hint="eastAsia"/>
        </w:rPr>
        <w:t>3</w:t>
      </w:r>
      <w:r>
        <w:t>月</w:t>
      </w:r>
    </w:p>
    <w:p>
      <w:pPr>
        <w:widowControl/>
        <w:spacing w:line="240" w:lineRule="auto"/>
        <w:ind w:firstLine="0" w:firstLineChars="0"/>
        <w:textAlignment w:val="auto"/>
        <w:rPr>
          <w:iCs/>
        </w:rPr>
        <w:sectPr>
          <w:pgSz w:w="11907" w:h="16839"/>
          <w:pgMar w:top="1985" w:right="1616" w:bottom="1814" w:left="1616" w:header="851" w:footer="1474" w:gutter="0"/>
          <w:pgNumType w:fmt="numberInDash" w:start="1"/>
          <w:cols w:space="720" w:num="1"/>
          <w:docGrid w:type="lines" w:linePitch="408" w:charSpace="0"/>
        </w:sectPr>
      </w:pPr>
    </w:p>
    <w:p>
      <w:pPr>
        <w:pStyle w:val="2"/>
        <w:ind w:left="0"/>
        <w:jc w:val="center"/>
        <w:rPr>
          <w:rFonts w:ascii="方正黑体_GBK" w:eastAsia="方正黑体_GBK"/>
          <w:sz w:val="40"/>
          <w:szCs w:val="44"/>
        </w:rPr>
      </w:pPr>
      <w:bookmarkStart w:id="0" w:name="_Toc128756520"/>
    </w:p>
    <w:p>
      <w:pPr>
        <w:pStyle w:val="2"/>
        <w:ind w:left="0"/>
        <w:jc w:val="center"/>
        <w:rPr>
          <w:rFonts w:ascii="方正黑体_GBK" w:eastAsia="方正黑体_GBK"/>
          <w:sz w:val="40"/>
          <w:szCs w:val="44"/>
        </w:rPr>
      </w:pPr>
    </w:p>
    <w:p>
      <w:pPr>
        <w:pStyle w:val="2"/>
        <w:ind w:left="0"/>
        <w:jc w:val="center"/>
        <w:rPr>
          <w:rFonts w:ascii="方正小标宋_GBK" w:eastAsia="方正小标宋_GBK"/>
          <w:sz w:val="40"/>
          <w:szCs w:val="44"/>
        </w:rPr>
      </w:pPr>
      <w:r>
        <w:rPr>
          <w:rFonts w:hint="eastAsia" w:ascii="方正小标宋_GBK" w:eastAsia="方正小标宋_GBK"/>
          <w:sz w:val="40"/>
          <w:szCs w:val="44"/>
        </w:rPr>
        <w:t>编  委  会</w:t>
      </w:r>
    </w:p>
    <w:p>
      <w:pPr>
        <w:pStyle w:val="2"/>
        <w:ind w:left="0"/>
        <w:jc w:val="center"/>
        <w:rPr>
          <w:rFonts w:ascii="方正黑体_GBK" w:eastAsia="方正黑体_GBK"/>
          <w:sz w:val="40"/>
          <w:szCs w:val="44"/>
        </w:rPr>
      </w:pPr>
    </w:p>
    <w:p>
      <w:pPr>
        <w:pStyle w:val="2"/>
        <w:ind w:left="0"/>
        <w:jc w:val="center"/>
        <w:rPr>
          <w:rFonts w:ascii="方正黑体_GBK" w:eastAsia="方正黑体_GBK"/>
          <w:sz w:val="40"/>
          <w:szCs w:val="44"/>
        </w:rPr>
      </w:pPr>
    </w:p>
    <w:tbl>
      <w:tblPr>
        <w:tblStyle w:val="11"/>
        <w:tblW w:w="0" w:type="auto"/>
        <w:tblInd w:w="0" w:type="dxa"/>
        <w:tblLayout w:type="autofit"/>
        <w:tblCellMar>
          <w:top w:w="0" w:type="dxa"/>
          <w:left w:w="108" w:type="dxa"/>
          <w:bottom w:w="0" w:type="dxa"/>
          <w:right w:w="108" w:type="dxa"/>
        </w:tblCellMar>
      </w:tblPr>
      <w:tblGrid>
        <w:gridCol w:w="1809"/>
        <w:gridCol w:w="7082"/>
      </w:tblGrid>
      <w:tr>
        <w:tblPrEx>
          <w:tblCellMar>
            <w:top w:w="0" w:type="dxa"/>
            <w:left w:w="108" w:type="dxa"/>
            <w:bottom w:w="0" w:type="dxa"/>
            <w:right w:w="108" w:type="dxa"/>
          </w:tblCellMar>
        </w:tblPrEx>
        <w:tc>
          <w:tcPr>
            <w:tcW w:w="1809" w:type="dxa"/>
          </w:tcPr>
          <w:p>
            <w:pPr>
              <w:pStyle w:val="2"/>
              <w:ind w:left="0"/>
              <w:jc w:val="distribute"/>
              <w:rPr>
                <w:rFonts w:ascii="方正楷体_GBK" w:eastAsia="方正楷体_GBK"/>
              </w:rPr>
            </w:pPr>
            <w:r>
              <w:rPr>
                <w:rFonts w:hint="eastAsia" w:ascii="方正楷体_GBK" w:eastAsia="方正楷体_GBK"/>
              </w:rPr>
              <w:t>主任</w:t>
            </w:r>
          </w:p>
        </w:tc>
        <w:tc>
          <w:tcPr>
            <w:tcW w:w="7082" w:type="dxa"/>
          </w:tcPr>
          <w:p>
            <w:pPr>
              <w:pStyle w:val="2"/>
              <w:ind w:left="0" w:firstLine="600" w:firstLineChars="200"/>
              <w:jc w:val="left"/>
              <w:rPr>
                <w:rFonts w:ascii="方正仿宋_GBK" w:eastAsia="方正仿宋_GBK"/>
              </w:rPr>
            </w:pPr>
            <w:r>
              <w:rPr>
                <w:rFonts w:hint="eastAsia" w:ascii="方正仿宋_GBK" w:eastAsia="方正仿宋_GBK"/>
              </w:rPr>
              <w:t>李创军</w:t>
            </w:r>
          </w:p>
        </w:tc>
      </w:tr>
      <w:tr>
        <w:tblPrEx>
          <w:tblCellMar>
            <w:top w:w="0" w:type="dxa"/>
            <w:left w:w="108" w:type="dxa"/>
            <w:bottom w:w="0" w:type="dxa"/>
            <w:right w:w="108" w:type="dxa"/>
          </w:tblCellMar>
        </w:tblPrEx>
        <w:tc>
          <w:tcPr>
            <w:tcW w:w="1809" w:type="dxa"/>
          </w:tcPr>
          <w:p>
            <w:pPr>
              <w:pStyle w:val="2"/>
              <w:ind w:left="0"/>
              <w:jc w:val="distribute"/>
              <w:rPr>
                <w:rFonts w:ascii="方正楷体_GBK" w:eastAsia="方正楷体_GBK"/>
              </w:rPr>
            </w:pPr>
            <w:r>
              <w:rPr>
                <w:rFonts w:hint="eastAsia" w:ascii="方正楷体_GBK" w:eastAsia="方正楷体_GBK"/>
              </w:rPr>
              <w:t>副主任</w:t>
            </w:r>
          </w:p>
        </w:tc>
        <w:tc>
          <w:tcPr>
            <w:tcW w:w="7082" w:type="dxa"/>
          </w:tcPr>
          <w:p>
            <w:pPr>
              <w:pStyle w:val="2"/>
              <w:ind w:left="0" w:firstLine="600" w:firstLineChars="200"/>
              <w:rPr>
                <w:rFonts w:ascii="方正仿宋_GBK" w:eastAsia="方正仿宋_GBK"/>
              </w:rPr>
            </w:pPr>
            <w:r>
              <w:rPr>
                <w:rFonts w:hint="eastAsia" w:ascii="方正仿宋_GBK" w:eastAsia="方正仿宋_GBK"/>
              </w:rPr>
              <w:t>熊敏峰  王大鹏</w:t>
            </w:r>
          </w:p>
        </w:tc>
      </w:tr>
      <w:tr>
        <w:tblPrEx>
          <w:tblCellMar>
            <w:top w:w="0" w:type="dxa"/>
            <w:left w:w="108" w:type="dxa"/>
            <w:bottom w:w="0" w:type="dxa"/>
            <w:right w:w="108" w:type="dxa"/>
          </w:tblCellMar>
        </w:tblPrEx>
        <w:tc>
          <w:tcPr>
            <w:tcW w:w="1809" w:type="dxa"/>
          </w:tcPr>
          <w:p>
            <w:pPr>
              <w:pStyle w:val="2"/>
              <w:ind w:left="0"/>
              <w:jc w:val="distribute"/>
              <w:rPr>
                <w:rFonts w:ascii="方正楷体_GBK" w:eastAsia="方正楷体_GBK"/>
              </w:rPr>
            </w:pPr>
          </w:p>
        </w:tc>
        <w:tc>
          <w:tcPr>
            <w:tcW w:w="7082" w:type="dxa"/>
          </w:tcPr>
          <w:p>
            <w:pPr>
              <w:pStyle w:val="2"/>
              <w:ind w:left="0"/>
              <w:rPr>
                <w:rFonts w:ascii="方正黑体_GBK" w:eastAsia="方正黑体_GBK"/>
              </w:rPr>
            </w:pPr>
            <w:r>
              <w:rPr>
                <w:rFonts w:hint="eastAsia" w:ascii="方正黑体_GBK" w:eastAsia="方正黑体_GBK"/>
              </w:rPr>
              <w:t xml:space="preserve">    </w:t>
            </w:r>
          </w:p>
        </w:tc>
      </w:tr>
      <w:tr>
        <w:tc>
          <w:tcPr>
            <w:tcW w:w="1809" w:type="dxa"/>
          </w:tcPr>
          <w:p>
            <w:pPr>
              <w:pStyle w:val="2"/>
              <w:ind w:left="0"/>
              <w:jc w:val="distribute"/>
              <w:rPr>
                <w:rFonts w:ascii="方正楷体_GBK" w:eastAsia="方正楷体_GBK"/>
              </w:rPr>
            </w:pPr>
            <w:r>
              <w:rPr>
                <w:rFonts w:hint="eastAsia" w:ascii="方正楷体_GBK" w:eastAsia="方正楷体_GBK"/>
              </w:rPr>
              <w:t>编写人员</w:t>
            </w:r>
          </w:p>
        </w:tc>
        <w:tc>
          <w:tcPr>
            <w:tcW w:w="7082" w:type="dxa"/>
          </w:tcPr>
          <w:p>
            <w:pPr>
              <w:pStyle w:val="2"/>
              <w:ind w:left="636" w:leftChars="212"/>
              <w:jc w:val="left"/>
              <w:rPr>
                <w:rFonts w:hint="eastAsia" w:ascii="方正仿宋_GBK" w:eastAsia="方正仿宋_GBK"/>
              </w:rPr>
            </w:pPr>
            <w:r>
              <w:rPr>
                <w:rFonts w:hint="eastAsia" w:ascii="方正仿宋_GBK" w:eastAsia="方正仿宋_GBK"/>
              </w:rPr>
              <w:t>邢翼腾  孔  涛  高  楠  林  城  盖振宇</w:t>
            </w:r>
          </w:p>
          <w:p>
            <w:pPr>
              <w:pStyle w:val="2"/>
              <w:ind w:left="636" w:leftChars="212"/>
              <w:jc w:val="left"/>
              <w:rPr>
                <w:rFonts w:hint="eastAsia" w:ascii="方正仿宋_GBK" w:eastAsia="方正仿宋_GBK"/>
              </w:rPr>
            </w:pPr>
            <w:r>
              <w:rPr>
                <w:rFonts w:hint="eastAsia" w:ascii="方正仿宋_GBK" w:eastAsia="方正仿宋_GBK"/>
              </w:rPr>
              <w:t>赵勇强  时璟丽  钟财富  陈俊杰  王昊轶</w:t>
            </w:r>
          </w:p>
          <w:p>
            <w:pPr>
              <w:pStyle w:val="2"/>
              <w:ind w:left="636" w:leftChars="212"/>
              <w:jc w:val="left"/>
              <w:rPr>
                <w:rFonts w:hint="eastAsia" w:ascii="方正仿宋_GBK" w:eastAsia="方正仿宋_GBK"/>
              </w:rPr>
            </w:pPr>
            <w:r>
              <w:rPr>
                <w:rFonts w:hint="eastAsia" w:ascii="方正仿宋_GBK" w:eastAsia="方正仿宋_GBK"/>
              </w:rPr>
              <w:t>朱  彤  李  鹏  董秀芬  石</w:t>
            </w:r>
            <w:r>
              <w:rPr>
                <w:rFonts w:ascii="方正仿宋_GBK" w:eastAsia="方正仿宋_GBK"/>
              </w:rPr>
              <w:t xml:space="preserve">  </w:t>
            </w:r>
            <w:r>
              <w:rPr>
                <w:rFonts w:hint="eastAsia" w:ascii="方正仿宋_GBK" w:eastAsia="方正仿宋_GBK"/>
              </w:rPr>
              <w:t>盛</w:t>
            </w:r>
            <w:r>
              <w:rPr>
                <w:rFonts w:ascii="方正仿宋_GBK" w:eastAsia="方正仿宋_GBK"/>
              </w:rPr>
              <w:t xml:space="preserve">  </w:t>
            </w:r>
            <w:r>
              <w:rPr>
                <w:rFonts w:hint="eastAsia" w:ascii="方正仿宋_GBK" w:eastAsia="方正仿宋_GBK"/>
              </w:rPr>
              <w:t>王世江</w:t>
            </w:r>
          </w:p>
          <w:p>
            <w:pPr>
              <w:pStyle w:val="2"/>
              <w:ind w:left="636" w:leftChars="212"/>
              <w:jc w:val="left"/>
              <w:rPr>
                <w:rFonts w:ascii="方正仿宋_GBK" w:eastAsia="方正仿宋_GBK"/>
              </w:rPr>
            </w:pPr>
            <w:r>
              <w:rPr>
                <w:rFonts w:hint="eastAsia" w:ascii="方正仿宋_GBK" w:eastAsia="方正仿宋_GBK"/>
              </w:rPr>
              <w:t>刘译阳  江  华  沙  恒  秦海岩  于贵勇</w:t>
            </w:r>
            <w:r>
              <w:rPr>
                <w:rFonts w:ascii="方正仿宋_GBK" w:eastAsia="方正仿宋_GBK"/>
              </w:rPr>
              <w:t xml:space="preserve">  </w:t>
            </w:r>
            <w:r>
              <w:rPr>
                <w:rFonts w:hint="eastAsia" w:ascii="方正仿宋_GBK" w:eastAsia="方正仿宋_GBK"/>
              </w:rPr>
              <w:t xml:space="preserve">  </w:t>
            </w:r>
          </w:p>
        </w:tc>
      </w:tr>
      <w:tr>
        <w:tblPrEx>
          <w:tblCellMar>
            <w:top w:w="0" w:type="dxa"/>
            <w:left w:w="108" w:type="dxa"/>
            <w:bottom w:w="0" w:type="dxa"/>
            <w:right w:w="108" w:type="dxa"/>
          </w:tblCellMar>
        </w:tblPrEx>
        <w:tc>
          <w:tcPr>
            <w:tcW w:w="1809" w:type="dxa"/>
          </w:tcPr>
          <w:p>
            <w:pPr>
              <w:pStyle w:val="2"/>
              <w:ind w:left="0"/>
              <w:jc w:val="distribute"/>
              <w:rPr>
                <w:rFonts w:ascii="方正楷体_GBK" w:eastAsia="方正楷体_GBK"/>
                <w:sz w:val="32"/>
                <w:szCs w:val="44"/>
              </w:rPr>
            </w:pPr>
          </w:p>
        </w:tc>
        <w:tc>
          <w:tcPr>
            <w:tcW w:w="7082" w:type="dxa"/>
          </w:tcPr>
          <w:p>
            <w:pPr>
              <w:pStyle w:val="2"/>
              <w:ind w:left="636" w:leftChars="212"/>
              <w:jc w:val="left"/>
              <w:rPr>
                <w:rFonts w:ascii="方正仿宋_GBK"/>
                <w:sz w:val="32"/>
                <w:szCs w:val="32"/>
              </w:rPr>
            </w:pPr>
          </w:p>
        </w:tc>
      </w:tr>
    </w:tbl>
    <w:p>
      <w:pPr>
        <w:pStyle w:val="2"/>
        <w:ind w:left="0"/>
        <w:rPr>
          <w:rFonts w:ascii="方正楷体_GBK" w:eastAsia="方正楷体_GBK"/>
          <w:sz w:val="32"/>
          <w:szCs w:val="44"/>
        </w:rPr>
      </w:pPr>
    </w:p>
    <w:p>
      <w:pPr>
        <w:pStyle w:val="2"/>
        <w:ind w:left="0"/>
        <w:rPr>
          <w:rFonts w:ascii="方正黑体_GBK" w:eastAsia="方正黑体_GBK"/>
          <w:sz w:val="44"/>
          <w:szCs w:val="44"/>
        </w:rPr>
        <w:sectPr>
          <w:footerReference r:id="rId11" w:type="default"/>
          <w:footerReference r:id="rId12" w:type="even"/>
          <w:pgSz w:w="11907" w:h="16839"/>
          <w:pgMar w:top="1985" w:right="1616" w:bottom="1814" w:left="1616" w:header="851" w:footer="907" w:gutter="0"/>
          <w:pgNumType w:start="1"/>
          <w:cols w:space="720" w:num="1"/>
          <w:docGrid w:type="lines" w:linePitch="408" w:charSpace="0"/>
        </w:sectPr>
      </w:pPr>
    </w:p>
    <w:p>
      <w:pPr>
        <w:pStyle w:val="2"/>
        <w:ind w:left="0"/>
        <w:jc w:val="center"/>
        <w:rPr>
          <w:rFonts w:ascii="方正黑体_GBK" w:eastAsia="方正黑体_GBK"/>
          <w:sz w:val="44"/>
          <w:szCs w:val="44"/>
        </w:rPr>
      </w:pPr>
    </w:p>
    <w:p>
      <w:pPr>
        <w:pStyle w:val="2"/>
        <w:ind w:left="0"/>
        <w:jc w:val="center"/>
        <w:rPr>
          <w:rFonts w:ascii="Times New Roman"/>
        </w:rPr>
      </w:pPr>
      <w:r>
        <w:rPr>
          <w:rFonts w:ascii="Times New Roman"/>
        </w:rPr>
        <w:t>前</w:t>
      </w:r>
      <w:r>
        <w:rPr>
          <w:rFonts w:hint="eastAsia" w:ascii="Times New Roman"/>
        </w:rPr>
        <w:t xml:space="preserve">  </w:t>
      </w:r>
      <w:r>
        <w:rPr>
          <w:rFonts w:ascii="Times New Roman"/>
        </w:rPr>
        <w:t>言</w:t>
      </w:r>
      <w:bookmarkEnd w:id="0"/>
    </w:p>
    <w:p/>
    <w:p>
      <w:pPr>
        <w:rPr>
          <w:iCs/>
        </w:rPr>
      </w:pPr>
      <w:r>
        <w:rPr>
          <w:iCs/>
        </w:rPr>
        <w:t>2020年9月，习近平总书记作出碳达峰、碳中和重大宣示，12月明确提出到2030年我国非化石能源占一次能源消费比重达到25%左右，风电、太阳能发电总装机容量达到12亿千瓦以上。2022年1月，习近平总书记在中央政治局第三十六次集体学习中明确提出，要加大力度规划建设以大型风光电基地为基础、以其周边清洁高效先进节能的煤电为支撑、以稳定安全可靠的特高压输变电线路为载体的新能源供给消纳体系。习近平总书记的重要讲话和指示为新时代新能源发展提出了新的更高要求，提供了根本遵循。</w:t>
      </w:r>
    </w:p>
    <w:p>
      <w:pPr>
        <w:rPr>
          <w:iCs/>
        </w:rPr>
      </w:pPr>
      <w:r>
        <w:rPr>
          <w:iCs/>
        </w:rPr>
        <w:t>为深入贯彻落实习近平总书记的重要讲话和指示精神，促进新时代新能源高质量发展，国家发展改革委、国家能源局历时近两年，围绕新能源发展的难点、堵点问题，</w:t>
      </w:r>
      <w:r>
        <w:rPr>
          <w:rFonts w:hint="eastAsia"/>
          <w:iCs/>
        </w:rPr>
        <w:t>起草</w:t>
      </w:r>
      <w:r>
        <w:rPr>
          <w:iCs/>
        </w:rPr>
        <w:t>了《关于促进新时代新能源高质量发展的实施方案》（以下简称《实施方案》），国务院办公厅于2022年5月转发</w:t>
      </w:r>
      <w:r>
        <w:rPr>
          <w:rFonts w:hint="eastAsia"/>
          <w:iCs/>
        </w:rPr>
        <w:t>了《实施方案》</w:t>
      </w:r>
      <w:r>
        <w:rPr>
          <w:iCs/>
        </w:rPr>
        <w:t>。《实施方案》坚持目标导向和问题导向</w:t>
      </w:r>
      <w:r>
        <w:rPr>
          <w:rFonts w:hint="eastAsia"/>
          <w:iCs/>
        </w:rPr>
        <w:t>，锚定到2030年我国风电、太阳能发电总装机容量达到12亿千瓦以上的目标</w:t>
      </w:r>
      <w:r>
        <w:rPr>
          <w:iCs/>
        </w:rPr>
        <w:t>，重点针对影响以风电、光伏为主的新能源大规模、高比例发展的关键性、要害性、实质性、核心性政策堵点、痛点、空白点，提出切实可行、具备操作性的政策</w:t>
      </w:r>
      <w:r>
        <w:rPr>
          <w:rFonts w:hint="eastAsia"/>
          <w:iCs/>
        </w:rPr>
        <w:t>措施</w:t>
      </w:r>
      <w:r>
        <w:rPr>
          <w:iCs/>
        </w:rPr>
        <w:t>。</w:t>
      </w:r>
    </w:p>
    <w:p>
      <w:pPr>
        <w:rPr>
          <w:iCs/>
        </w:rPr>
      </w:pPr>
      <w:r>
        <w:rPr>
          <w:iCs/>
        </w:rPr>
        <w:t>为了让各有关单位、相关市场主体更好地理解和落实《实施方案》提出的</w:t>
      </w:r>
      <w:r>
        <w:rPr>
          <w:rFonts w:hint="eastAsia"/>
          <w:iCs/>
        </w:rPr>
        <w:t>各项</w:t>
      </w:r>
      <w:r>
        <w:rPr>
          <w:iCs/>
        </w:rPr>
        <w:t>政策</w:t>
      </w:r>
      <w:r>
        <w:rPr>
          <w:rFonts w:hint="eastAsia"/>
          <w:iCs/>
        </w:rPr>
        <w:t>措施</w:t>
      </w:r>
      <w:r>
        <w:rPr>
          <w:iCs/>
        </w:rPr>
        <w:t>，</w:t>
      </w:r>
      <w:r>
        <w:rPr>
          <w:rFonts w:hint="eastAsia"/>
          <w:iCs/>
        </w:rPr>
        <w:t>结合学习宣传贯彻党的二十大精神，</w:t>
      </w:r>
      <w:r>
        <w:rPr>
          <w:iCs/>
        </w:rPr>
        <w:t>国家能源局组织编写了本</w:t>
      </w:r>
      <w:r>
        <w:rPr>
          <w:rFonts w:hint="eastAsia"/>
          <w:iCs/>
        </w:rPr>
        <w:t>案例</w:t>
      </w:r>
      <w:r>
        <w:rPr>
          <w:iCs/>
        </w:rPr>
        <w:t>解读材料，对全部二十一条进行逐条逐句解读，辅以相关</w:t>
      </w:r>
      <w:r>
        <w:rPr>
          <w:rFonts w:hint="eastAsia"/>
          <w:iCs/>
        </w:rPr>
        <w:t>政策</w:t>
      </w:r>
      <w:r>
        <w:rPr>
          <w:iCs/>
        </w:rPr>
        <w:t>案例，对每个政策点的背景、目的，已经出台的相关措施，下一步政策落实方向等进行了详细阐述。</w:t>
      </w:r>
    </w:p>
    <w:p>
      <w:pPr>
        <w:rPr>
          <w:iCs/>
        </w:rPr>
        <w:sectPr>
          <w:pgSz w:w="11907" w:h="16839"/>
          <w:pgMar w:top="1985" w:right="1616" w:bottom="1814" w:left="1616" w:header="851" w:footer="907" w:gutter="0"/>
          <w:pgNumType w:start="1"/>
          <w:cols w:space="720" w:num="1"/>
          <w:docGrid w:type="lines" w:linePitch="408" w:charSpace="0"/>
        </w:sectPr>
      </w:pPr>
    </w:p>
    <w:p>
      <w:pPr>
        <w:pStyle w:val="2"/>
        <w:ind w:left="0"/>
        <w:jc w:val="center"/>
        <w:rPr>
          <w:rFonts w:ascii="Times New Roman"/>
        </w:rPr>
      </w:pPr>
      <w:bookmarkStart w:id="1" w:name="_Toc128756521"/>
      <w:bookmarkStart w:id="2" w:name="_Toc111711939"/>
      <w:bookmarkStart w:id="3" w:name="_Toc111205665"/>
      <w:r>
        <w:rPr>
          <w:rFonts w:ascii="Times New Roman"/>
        </w:rPr>
        <w:t>目</w:t>
      </w:r>
      <w:r>
        <w:rPr>
          <w:rFonts w:hint="eastAsia" w:ascii="Times New Roman"/>
        </w:rPr>
        <w:t xml:space="preserve">  </w:t>
      </w:r>
      <w:r>
        <w:rPr>
          <w:rFonts w:ascii="Times New Roman"/>
        </w:rPr>
        <w:t>录</w:t>
      </w:r>
      <w:bookmarkEnd w:id="1"/>
      <w:bookmarkEnd w:id="2"/>
      <w:bookmarkEnd w:id="3"/>
    </w:p>
    <w:p>
      <w:pPr>
        <w:pStyle w:val="7"/>
        <w:tabs>
          <w:tab w:val="right" w:leader="dot" w:pos="8665"/>
        </w:tabs>
        <w:ind w:firstLine="0" w:firstLineChars="0"/>
        <w:rPr>
          <w:rFonts w:asciiTheme="minorHAnsi" w:hAnsiTheme="minorHAnsi" w:eastAsiaTheme="minorEastAsia" w:cstheme="minorBidi"/>
          <w:sz w:val="21"/>
          <w:szCs w:val="22"/>
        </w:rPr>
      </w:pPr>
      <w:r>
        <w:fldChar w:fldCharType="begin"/>
      </w:r>
      <w:r>
        <w:instrText xml:space="preserve"> TOC \o "1-3" \h \z \u </w:instrText>
      </w:r>
      <w:r>
        <w:fldChar w:fldCharType="separate"/>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"_Toc128756522" </w:instrText>
      </w:r>
      <w:r>
        <w:fldChar w:fldCharType="separate"/>
      </w:r>
      <w:r>
        <w:rPr>
          <w:rStyle w:val="13"/>
          <w:rFonts w:hint="eastAsia"/>
          <w:b/>
        </w:rPr>
        <w:t>一、创新新能源开发利用模式</w:t>
      </w:r>
      <w:r>
        <w:rPr>
          <w:b/>
        </w:rPr>
        <w:tab/>
      </w:r>
      <w:r>
        <w:rPr>
          <w:b/>
        </w:rPr>
        <w:fldChar w:fldCharType="begin"/>
      </w:r>
      <w:r>
        <w:rPr>
          <w:b/>
        </w:rPr>
        <w:instrText xml:space="preserve"> PAGEREF _Toc128756522 \h </w:instrText>
      </w:r>
      <w:r>
        <w:rPr>
          <w:b/>
        </w:rPr>
        <w:fldChar w:fldCharType="separate"/>
      </w:r>
      <w:r>
        <w:rPr>
          <w:b/>
        </w:rPr>
        <w:t>1</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"_Toc128756523" </w:instrText>
      </w:r>
      <w:r>
        <w:fldChar w:fldCharType="separate"/>
      </w:r>
      <w:r>
        <w:rPr>
          <w:rStyle w:val="13"/>
          <w:rFonts w:hint="eastAsia"/>
        </w:rPr>
        <w:t>（一）加快推进以沙漠、戈壁、荒漠地区为重点的大型风电光伏基地建设</w:t>
      </w:r>
      <w:r>
        <w:tab/>
      </w:r>
      <w:r>
        <w:fldChar w:fldCharType="begin"/>
      </w:r>
      <w:r>
        <w:instrText xml:space="preserve"> PAGEREF _Toc128756523 \h </w:instrText>
      </w:r>
      <w:r>
        <w:fldChar w:fldCharType="separate"/>
      </w:r>
      <w:r>
        <w:t>2</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"_Toc128756524" </w:instrText>
      </w:r>
      <w:r>
        <w:fldChar w:fldCharType="separate"/>
      </w:r>
      <w:r>
        <w:rPr>
          <w:rStyle w:val="13"/>
          <w:rFonts w:hint="eastAsia"/>
        </w:rPr>
        <w:t>（二）促进新能源开发利用与乡村振兴融合发展</w:t>
      </w:r>
      <w:r>
        <w:tab/>
      </w:r>
      <w:r>
        <w:fldChar w:fldCharType="begin"/>
      </w:r>
      <w:r>
        <w:instrText xml:space="preserve"> PAGEREF _Toc128756524 \h </w:instrText>
      </w:r>
      <w:r>
        <w:fldChar w:fldCharType="separate"/>
      </w:r>
      <w:r>
        <w:t>7</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"_Toc128756525" </w:instrText>
      </w:r>
      <w:r>
        <w:fldChar w:fldCharType="separate"/>
      </w:r>
      <w:r>
        <w:rPr>
          <w:rStyle w:val="13"/>
          <w:rFonts w:hint="eastAsia"/>
        </w:rPr>
        <w:t>（三）推动新能源在工业和建筑领域应用</w:t>
      </w:r>
      <w:r>
        <w:tab/>
      </w:r>
      <w:r>
        <w:fldChar w:fldCharType="begin"/>
      </w:r>
      <w:r>
        <w:instrText xml:space="preserve"> PAGEREF _Toc128756525 \h </w:instrText>
      </w:r>
      <w:r>
        <w:fldChar w:fldCharType="separate"/>
      </w:r>
      <w:r>
        <w:t>13</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"_Toc128756526" </w:instrText>
      </w:r>
      <w:r>
        <w:fldChar w:fldCharType="separate"/>
      </w:r>
      <w:r>
        <w:rPr>
          <w:rStyle w:val="13"/>
          <w:rFonts w:hint="eastAsia"/>
        </w:rPr>
        <w:t>（四）引导全社会消费新能源等绿色电力</w:t>
      </w:r>
      <w:r>
        <w:tab/>
      </w:r>
      <w:r>
        <w:fldChar w:fldCharType="begin"/>
      </w:r>
      <w:r>
        <w:instrText xml:space="preserve"> PAGEREF _Toc128756526 \h </w:instrText>
      </w:r>
      <w:r>
        <w:fldChar w:fldCharType="separate"/>
      </w:r>
      <w:r>
        <w:t>19</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"_Toc128756527" </w:instrText>
      </w:r>
      <w:r>
        <w:fldChar w:fldCharType="separate"/>
      </w:r>
      <w:r>
        <w:rPr>
          <w:rStyle w:val="13"/>
          <w:rFonts w:hint="eastAsia"/>
          <w:b/>
        </w:rPr>
        <w:t>二、加快构建适应新能源占比逐渐提高的新型电力系统</w:t>
      </w:r>
      <w:r>
        <w:rPr>
          <w:b/>
        </w:rPr>
        <w:tab/>
      </w:r>
      <w:r>
        <w:rPr>
          <w:b/>
        </w:rPr>
        <w:fldChar w:fldCharType="begin"/>
      </w:r>
      <w:r>
        <w:rPr>
          <w:b/>
        </w:rPr>
        <w:instrText xml:space="preserve"> PAGEREF _Toc128756527 \h </w:instrText>
      </w:r>
      <w:r>
        <w:rPr>
          <w:b/>
        </w:rPr>
        <w:fldChar w:fldCharType="separate"/>
      </w:r>
      <w:r>
        <w:rPr>
          <w:b/>
        </w:rPr>
        <w:t>24</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"_Toc128756528" </w:instrText>
      </w:r>
      <w:r>
        <w:fldChar w:fldCharType="separate"/>
      </w:r>
      <w:r>
        <w:rPr>
          <w:rStyle w:val="13"/>
          <w:rFonts w:hint="eastAsia"/>
        </w:rPr>
        <w:t>（五）全面提升电力系统调节能力和灵活性</w:t>
      </w:r>
      <w:r>
        <w:tab/>
      </w:r>
      <w:r>
        <w:fldChar w:fldCharType="begin"/>
      </w:r>
      <w:r>
        <w:instrText xml:space="preserve"> PAGEREF _Toc128756528 \h </w:instrText>
      </w:r>
      <w:r>
        <w:fldChar w:fldCharType="separate"/>
      </w:r>
      <w:r>
        <w:t>25</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"_Toc128756529" </w:instrText>
      </w:r>
      <w:r>
        <w:fldChar w:fldCharType="separate"/>
      </w:r>
      <w:r>
        <w:rPr>
          <w:rStyle w:val="13"/>
          <w:rFonts w:hint="eastAsia"/>
          <w:bCs/>
        </w:rPr>
        <w:t>（六）</w:t>
      </w:r>
      <w:r>
        <w:rPr>
          <w:rStyle w:val="13"/>
          <w:rFonts w:hint="eastAsia"/>
        </w:rPr>
        <w:t>着力提高配电网接纳分布式新能源的能力</w:t>
      </w:r>
      <w:r>
        <w:tab/>
      </w:r>
      <w:r>
        <w:fldChar w:fldCharType="begin"/>
      </w:r>
      <w:r>
        <w:instrText xml:space="preserve"> PAGEREF _Toc128756529 \h </w:instrText>
      </w:r>
      <w:r>
        <w:fldChar w:fldCharType="separate"/>
      </w:r>
      <w:r>
        <w:t>36</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"_Toc128756530" </w:instrText>
      </w:r>
      <w:r>
        <w:fldChar w:fldCharType="separate"/>
      </w:r>
      <w:r>
        <w:rPr>
          <w:rStyle w:val="13"/>
          <w:rFonts w:hint="eastAsia"/>
          <w:bCs/>
        </w:rPr>
        <w:t>（七）</w:t>
      </w:r>
      <w:r>
        <w:rPr>
          <w:rStyle w:val="13"/>
          <w:rFonts w:hint="eastAsia"/>
        </w:rPr>
        <w:t>稳妥推进新能源参与电力市场交易</w:t>
      </w:r>
      <w:r>
        <w:tab/>
      </w:r>
      <w:r>
        <w:fldChar w:fldCharType="begin"/>
      </w:r>
      <w:r>
        <w:instrText xml:space="preserve"> PAGEREF _Toc128756530 \h </w:instrText>
      </w:r>
      <w:r>
        <w:fldChar w:fldCharType="separate"/>
      </w:r>
      <w:r>
        <w:t>44</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"_Toc128756531" </w:instrText>
      </w:r>
      <w:r>
        <w:fldChar w:fldCharType="separate"/>
      </w:r>
      <w:r>
        <w:rPr>
          <w:rStyle w:val="13"/>
          <w:rFonts w:hint="eastAsia"/>
          <w:bCs/>
        </w:rPr>
        <w:t>（八）</w:t>
      </w:r>
      <w:r>
        <w:rPr>
          <w:rStyle w:val="13"/>
          <w:rFonts w:hint="eastAsia"/>
        </w:rPr>
        <w:t>完善可再生能源电力消纳责任权重制度</w:t>
      </w:r>
      <w:r>
        <w:tab/>
      </w:r>
      <w:r>
        <w:fldChar w:fldCharType="begin"/>
      </w:r>
      <w:r>
        <w:instrText xml:space="preserve"> PAGEREF _Toc128756531 \h </w:instrText>
      </w:r>
      <w:r>
        <w:fldChar w:fldCharType="separate"/>
      </w:r>
      <w:r>
        <w:t>51</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"_Toc128756532" </w:instrText>
      </w:r>
      <w:r>
        <w:fldChar w:fldCharType="separate"/>
      </w:r>
      <w:r>
        <w:rPr>
          <w:rStyle w:val="13"/>
          <w:rFonts w:hint="eastAsia"/>
          <w:b/>
        </w:rPr>
        <w:t>三、深化新能源领域</w:t>
      </w:r>
      <w:r>
        <w:rPr>
          <w:rStyle w:val="13"/>
          <w:rFonts w:ascii="方正仿宋_GBK" w:hAnsi="方正仿宋_GBK"/>
          <w:b/>
        </w:rPr>
        <w:t>“</w:t>
      </w:r>
      <w:r>
        <w:rPr>
          <w:rStyle w:val="13"/>
          <w:rFonts w:hint="eastAsia"/>
          <w:b/>
        </w:rPr>
        <w:t>放管服</w:t>
      </w:r>
      <w:r>
        <w:rPr>
          <w:rStyle w:val="13"/>
          <w:rFonts w:ascii="方正仿宋_GBK" w:hAnsi="方正仿宋_GBK"/>
          <w:b/>
        </w:rPr>
        <w:t>”</w:t>
      </w:r>
      <w:r>
        <w:rPr>
          <w:rStyle w:val="13"/>
          <w:rFonts w:hint="eastAsia"/>
          <w:b/>
        </w:rPr>
        <w:t>改革</w:t>
      </w:r>
      <w:r>
        <w:rPr>
          <w:b/>
        </w:rPr>
        <w:tab/>
      </w:r>
      <w:r>
        <w:rPr>
          <w:b/>
        </w:rPr>
        <w:fldChar w:fldCharType="begin"/>
      </w:r>
      <w:r>
        <w:rPr>
          <w:b/>
        </w:rPr>
        <w:instrText xml:space="preserve"> PAGEREF _Toc128756532 \h </w:instrText>
      </w:r>
      <w:r>
        <w:rPr>
          <w:b/>
        </w:rPr>
        <w:fldChar w:fldCharType="separate"/>
      </w:r>
      <w:r>
        <w:rPr>
          <w:b/>
        </w:rPr>
        <w:t>56</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"_Toc128756533" </w:instrText>
      </w:r>
      <w:r>
        <w:fldChar w:fldCharType="separate"/>
      </w:r>
      <w:r>
        <w:rPr>
          <w:rStyle w:val="13"/>
          <w:rFonts w:hint="eastAsia"/>
          <w:bCs/>
        </w:rPr>
        <w:t>（九）</w:t>
      </w:r>
      <w:r>
        <w:rPr>
          <w:rStyle w:val="13"/>
          <w:rFonts w:hint="eastAsia"/>
          <w:shd w:val="clear" w:color="auto" w:fill="FFFFFF"/>
        </w:rPr>
        <w:t>持续提高项目审批效率</w:t>
      </w:r>
      <w:r>
        <w:tab/>
      </w:r>
      <w:r>
        <w:fldChar w:fldCharType="begin"/>
      </w:r>
      <w:r>
        <w:instrText xml:space="preserve"> PAGEREF _Toc128756533 \h </w:instrText>
      </w:r>
      <w:r>
        <w:fldChar w:fldCharType="separate"/>
      </w:r>
      <w:r>
        <w:t>57</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"_Toc128756534" </w:instrText>
      </w:r>
      <w:r>
        <w:fldChar w:fldCharType="separate"/>
      </w:r>
      <w:r>
        <w:rPr>
          <w:rStyle w:val="13"/>
          <w:rFonts w:hint="eastAsia"/>
          <w:bCs/>
        </w:rPr>
        <w:t>（十）</w:t>
      </w:r>
      <w:r>
        <w:rPr>
          <w:rStyle w:val="13"/>
          <w:rFonts w:hint="eastAsia"/>
          <w:shd w:val="clear" w:color="auto" w:fill="FFFFFF"/>
        </w:rPr>
        <w:t>优化新能源项目接网流程</w:t>
      </w:r>
      <w:r>
        <w:tab/>
      </w:r>
      <w:r>
        <w:fldChar w:fldCharType="begin"/>
      </w:r>
      <w:r>
        <w:instrText xml:space="preserve"> PAGEREF _Toc128756534 \h </w:instrText>
      </w:r>
      <w:r>
        <w:fldChar w:fldCharType="separate"/>
      </w:r>
      <w:r>
        <w:t>62</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"_Toc128756535" </w:instrText>
      </w:r>
      <w:r>
        <w:fldChar w:fldCharType="separate"/>
      </w:r>
      <w:r>
        <w:rPr>
          <w:rStyle w:val="13"/>
          <w:rFonts w:hint="eastAsia"/>
          <w:bCs/>
        </w:rPr>
        <w:t>（十一）</w:t>
      </w:r>
      <w:r>
        <w:rPr>
          <w:rStyle w:val="13"/>
          <w:rFonts w:hint="eastAsia"/>
          <w:shd w:val="clear" w:color="auto" w:fill="FFFFFF"/>
        </w:rPr>
        <w:t>健全新能源相关公共服务体系</w:t>
      </w:r>
      <w:r>
        <w:tab/>
      </w:r>
      <w:r>
        <w:fldChar w:fldCharType="begin"/>
      </w:r>
      <w:r>
        <w:instrText xml:space="preserve"> PAGEREF _Toc128756535 \h </w:instrText>
      </w:r>
      <w:r>
        <w:fldChar w:fldCharType="separate"/>
      </w:r>
      <w:r>
        <w:t>68</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"_Toc128756536" </w:instrText>
      </w:r>
      <w:r>
        <w:fldChar w:fldCharType="separate"/>
      </w:r>
      <w:r>
        <w:rPr>
          <w:rStyle w:val="13"/>
          <w:rFonts w:hint="eastAsia"/>
          <w:b/>
        </w:rPr>
        <w:t>四、支持引导新能源产业健康有序发展</w:t>
      </w:r>
      <w:r>
        <w:rPr>
          <w:b/>
        </w:rPr>
        <w:tab/>
      </w:r>
      <w:r>
        <w:rPr>
          <w:b/>
        </w:rPr>
        <w:fldChar w:fldCharType="begin"/>
      </w:r>
      <w:r>
        <w:rPr>
          <w:b/>
        </w:rPr>
        <w:instrText xml:space="preserve"> PAGEREF _Toc128756536 \h </w:instrText>
      </w:r>
      <w:r>
        <w:rPr>
          <w:b/>
        </w:rPr>
        <w:fldChar w:fldCharType="separate"/>
      </w:r>
      <w:r>
        <w:rPr>
          <w:b/>
        </w:rPr>
        <w:t>72</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"_Toc128756537" </w:instrText>
      </w:r>
      <w:r>
        <w:fldChar w:fldCharType="separate"/>
      </w:r>
      <w:r>
        <w:rPr>
          <w:rStyle w:val="13"/>
          <w:rFonts w:hint="eastAsia"/>
        </w:rPr>
        <w:t>（十二）推进科技创新与产业升级</w:t>
      </w:r>
      <w:r>
        <w:tab/>
      </w:r>
      <w:r>
        <w:fldChar w:fldCharType="begin"/>
      </w:r>
      <w:r>
        <w:instrText xml:space="preserve"> PAGEREF _Toc128756537 \h </w:instrText>
      </w:r>
      <w:r>
        <w:fldChar w:fldCharType="separate"/>
      </w:r>
      <w:r>
        <w:t>72</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"_Toc128756538" </w:instrText>
      </w:r>
      <w:r>
        <w:fldChar w:fldCharType="separate"/>
      </w:r>
      <w:r>
        <w:rPr>
          <w:rStyle w:val="13"/>
          <w:rFonts w:hint="eastAsia"/>
        </w:rPr>
        <w:t>（十三）保障产业链供应链安全</w:t>
      </w:r>
      <w:r>
        <w:tab/>
      </w:r>
      <w:r>
        <w:fldChar w:fldCharType="begin"/>
      </w:r>
      <w:r>
        <w:instrText xml:space="preserve"> PAGEREF _Toc128756538 \h </w:instrText>
      </w:r>
      <w:r>
        <w:fldChar w:fldCharType="separate"/>
      </w:r>
      <w:r>
        <w:t>85</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"_Toc128756539" </w:instrText>
      </w:r>
      <w:r>
        <w:fldChar w:fldCharType="separate"/>
      </w:r>
      <w:r>
        <w:rPr>
          <w:rStyle w:val="13"/>
          <w:rFonts w:hint="eastAsia"/>
        </w:rPr>
        <w:t>（十四）提高新能源产业国际化水平</w:t>
      </w:r>
      <w:r>
        <w:tab/>
      </w:r>
      <w:r>
        <w:fldChar w:fldCharType="begin"/>
      </w:r>
      <w:r>
        <w:instrText xml:space="preserve"> PAGEREF _Toc128756539 \h </w:instrText>
      </w:r>
      <w:r>
        <w:fldChar w:fldCharType="separate"/>
      </w:r>
      <w:r>
        <w:t>93</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"_Toc128756540" </w:instrText>
      </w:r>
      <w:r>
        <w:fldChar w:fldCharType="separate"/>
      </w:r>
      <w:r>
        <w:rPr>
          <w:rStyle w:val="13"/>
          <w:rFonts w:hint="eastAsia"/>
          <w:b/>
        </w:rPr>
        <w:t>五、保障新能源发展合理空间需求</w:t>
      </w:r>
      <w:r>
        <w:rPr>
          <w:b/>
        </w:rPr>
        <w:tab/>
      </w:r>
      <w:r>
        <w:rPr>
          <w:b/>
        </w:rPr>
        <w:fldChar w:fldCharType="begin"/>
      </w:r>
      <w:r>
        <w:rPr>
          <w:b/>
        </w:rPr>
        <w:instrText xml:space="preserve"> PAGEREF _Toc128756540 \h </w:instrText>
      </w:r>
      <w:r>
        <w:rPr>
          <w:b/>
        </w:rPr>
        <w:fldChar w:fldCharType="separate"/>
      </w:r>
      <w:r>
        <w:rPr>
          <w:b/>
        </w:rPr>
        <w:t>95</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"_Toc128756541" </w:instrText>
      </w:r>
      <w:r>
        <w:fldChar w:fldCharType="separate"/>
      </w:r>
      <w:r>
        <w:rPr>
          <w:rStyle w:val="13"/>
          <w:rFonts w:hint="eastAsia" w:ascii="方正仿宋_GBK"/>
        </w:rPr>
        <w:t>（十五）完善新能源项目用地管制规则</w:t>
      </w:r>
      <w:r>
        <w:tab/>
      </w:r>
      <w:r>
        <w:fldChar w:fldCharType="begin"/>
      </w:r>
      <w:r>
        <w:instrText xml:space="preserve"> PAGEREF _Toc128756541 \h </w:instrText>
      </w:r>
      <w:r>
        <w:fldChar w:fldCharType="separate"/>
      </w:r>
      <w:r>
        <w:t>96</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"_Toc128756542" </w:instrText>
      </w:r>
      <w:r>
        <w:fldChar w:fldCharType="separate"/>
      </w:r>
      <w:r>
        <w:rPr>
          <w:rStyle w:val="13"/>
          <w:rFonts w:hint="eastAsia" w:ascii="方正仿宋_GBK"/>
          <w:bCs/>
        </w:rPr>
        <w:t>（十六）</w:t>
      </w:r>
      <w:r>
        <w:rPr>
          <w:rStyle w:val="13"/>
          <w:rFonts w:hint="eastAsia" w:ascii="方正仿宋_GBK"/>
        </w:rPr>
        <w:t>提高国土空间资源利用效率</w:t>
      </w:r>
      <w:r>
        <w:tab/>
      </w:r>
      <w:r>
        <w:fldChar w:fldCharType="begin"/>
      </w:r>
      <w:r>
        <w:instrText xml:space="preserve"> PAGEREF _Toc128756542 \h </w:instrText>
      </w:r>
      <w:r>
        <w:fldChar w:fldCharType="separate"/>
      </w:r>
      <w:r>
        <w:t>104</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"_Toc128756543" </w:instrText>
      </w:r>
      <w:r>
        <w:fldChar w:fldCharType="separate"/>
      </w:r>
      <w:r>
        <w:rPr>
          <w:rStyle w:val="13"/>
          <w:rFonts w:hint="eastAsia"/>
          <w:b/>
        </w:rPr>
        <w:t>六、充分发挥新能源的生态环境保护效益</w:t>
      </w:r>
      <w:r>
        <w:rPr>
          <w:b/>
        </w:rPr>
        <w:tab/>
      </w:r>
      <w:r>
        <w:rPr>
          <w:b/>
        </w:rPr>
        <w:fldChar w:fldCharType="begin"/>
      </w:r>
      <w:r>
        <w:rPr>
          <w:b/>
        </w:rPr>
        <w:instrText xml:space="preserve"> PAGEREF _Toc128756543 \h </w:instrText>
      </w:r>
      <w:r>
        <w:rPr>
          <w:b/>
        </w:rPr>
        <w:fldChar w:fldCharType="separate"/>
      </w:r>
      <w:r>
        <w:rPr>
          <w:b/>
        </w:rPr>
        <w:t>111</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"_Toc128756544" </w:instrText>
      </w:r>
      <w:r>
        <w:fldChar w:fldCharType="separate"/>
      </w:r>
      <w:r>
        <w:rPr>
          <w:rStyle w:val="13"/>
          <w:rFonts w:hint="eastAsia"/>
          <w:bCs/>
        </w:rPr>
        <w:t>（十七）</w:t>
      </w:r>
      <w:r>
        <w:rPr>
          <w:rStyle w:val="13"/>
          <w:rFonts w:hint="eastAsia"/>
        </w:rPr>
        <w:t>大力推广生态修复类新能源项目</w:t>
      </w:r>
      <w:r>
        <w:tab/>
      </w:r>
      <w:r>
        <w:fldChar w:fldCharType="begin"/>
      </w:r>
      <w:r>
        <w:instrText xml:space="preserve"> PAGEREF _Toc128756544 \h </w:instrText>
      </w:r>
      <w:r>
        <w:fldChar w:fldCharType="separate"/>
      </w:r>
      <w:r>
        <w:t>111</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"_Toc128756545" </w:instrText>
      </w:r>
      <w:r>
        <w:fldChar w:fldCharType="separate"/>
      </w:r>
      <w:r>
        <w:rPr>
          <w:rStyle w:val="13"/>
          <w:rFonts w:hint="eastAsia"/>
          <w:bCs/>
        </w:rPr>
        <w:t>（十八）</w:t>
      </w:r>
      <w:r>
        <w:rPr>
          <w:rStyle w:val="13"/>
          <w:rFonts w:hint="eastAsia"/>
        </w:rPr>
        <w:t>助力农村人居环境整治提升</w:t>
      </w:r>
      <w:r>
        <w:tab/>
      </w:r>
      <w:r>
        <w:fldChar w:fldCharType="begin"/>
      </w:r>
      <w:r>
        <w:instrText xml:space="preserve"> PAGEREF _Toc128756545 \h </w:instrText>
      </w:r>
      <w:r>
        <w:fldChar w:fldCharType="separate"/>
      </w:r>
      <w:r>
        <w:t>117</w:t>
      </w:r>
      <w:r>
        <w:fldChar w:fldCharType="end"/>
      </w:r>
      <w:r>
        <w:fldChar w:fldCharType="end"/>
      </w:r>
    </w:p>
    <w:p>
      <w:pPr>
        <w:pStyle w:val="7"/>
        <w:tabs>
          <w:tab w:val="right" w:leader="dot" w:pos="8665"/>
        </w:tabs>
        <w:ind w:firstLine="0" w:firstLineChars="0"/>
        <w:rPr>
          <w:rFonts w:asciiTheme="minorHAnsi" w:hAnsiTheme="minorHAnsi" w:eastAsiaTheme="minorEastAsia" w:cstheme="minorBidi"/>
          <w:b/>
          <w:sz w:val="21"/>
          <w:szCs w:val="22"/>
        </w:rPr>
      </w:pPr>
      <w:r>
        <w:fldChar w:fldCharType="begin"/>
      </w:r>
      <w:r>
        <w:instrText xml:space="preserve"> HYPERLINK \l "_Toc128756546" </w:instrText>
      </w:r>
      <w:r>
        <w:fldChar w:fldCharType="separate"/>
      </w:r>
      <w:r>
        <w:rPr>
          <w:rStyle w:val="13"/>
          <w:rFonts w:hint="eastAsia"/>
          <w:b/>
        </w:rPr>
        <w:t>七、完善支持新能源发展的财政金融政策</w:t>
      </w:r>
      <w:r>
        <w:rPr>
          <w:b/>
        </w:rPr>
        <w:tab/>
      </w:r>
      <w:r>
        <w:rPr>
          <w:b/>
        </w:rPr>
        <w:fldChar w:fldCharType="begin"/>
      </w:r>
      <w:r>
        <w:rPr>
          <w:b/>
        </w:rPr>
        <w:instrText xml:space="preserve"> PAGEREF _Toc128756546 \h </w:instrText>
      </w:r>
      <w:r>
        <w:rPr>
          <w:b/>
        </w:rPr>
        <w:fldChar w:fldCharType="separate"/>
      </w:r>
      <w:r>
        <w:rPr>
          <w:b/>
        </w:rPr>
        <w:t>122</w:t>
      </w:r>
      <w:r>
        <w:rPr>
          <w:b/>
        </w:rPr>
        <w:fldChar w:fldCharType="end"/>
      </w:r>
      <w:r>
        <w:rPr>
          <w:b/>
        </w:rP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"_Toc128756547" </w:instrText>
      </w:r>
      <w:r>
        <w:fldChar w:fldCharType="separate"/>
      </w:r>
      <w:r>
        <w:rPr>
          <w:rStyle w:val="13"/>
          <w:rFonts w:hint="eastAsia"/>
        </w:rPr>
        <w:t>（十九）优化财政资金使用</w:t>
      </w:r>
      <w:r>
        <w:tab/>
      </w:r>
      <w:r>
        <w:fldChar w:fldCharType="begin"/>
      </w:r>
      <w:r>
        <w:instrText xml:space="preserve"> PAGEREF _Toc128756547 \h </w:instrText>
      </w:r>
      <w:r>
        <w:fldChar w:fldCharType="separate"/>
      </w:r>
      <w:r>
        <w:t>123</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"_Toc128756548" </w:instrText>
      </w:r>
      <w:r>
        <w:fldChar w:fldCharType="separate"/>
      </w:r>
      <w:r>
        <w:rPr>
          <w:rStyle w:val="13"/>
          <w:rFonts w:hint="eastAsia"/>
        </w:rPr>
        <w:t>（二十）落实金融支持政策</w:t>
      </w:r>
      <w:r>
        <w:tab/>
      </w:r>
      <w:r>
        <w:fldChar w:fldCharType="begin"/>
      </w:r>
      <w:r>
        <w:instrText xml:space="preserve"> PAGEREF _Toc128756548 \h </w:instrText>
      </w:r>
      <w:r>
        <w:fldChar w:fldCharType="separate"/>
      </w:r>
      <w:r>
        <w:t>129</w:t>
      </w:r>
      <w:r>
        <w:fldChar w:fldCharType="end"/>
      </w:r>
      <w:r>
        <w:fldChar w:fldCharType="end"/>
      </w:r>
    </w:p>
    <w:p>
      <w:pPr>
        <w:pStyle w:val="9"/>
        <w:tabs>
          <w:tab w:val="right" w:leader="dot" w:pos="8647"/>
          <w:tab w:val="clear" w:pos="8948"/>
        </w:tabs>
        <w:ind w:firstLine="0" w:firstLineChars="0"/>
        <w:rPr>
          <w:rFonts w:asciiTheme="minorHAnsi" w:hAnsiTheme="minorHAnsi" w:eastAsiaTheme="minorEastAsia" w:cstheme="minorBidi"/>
          <w:sz w:val="21"/>
          <w:szCs w:val="22"/>
        </w:rPr>
      </w:pPr>
      <w:r>
        <w:fldChar w:fldCharType="begin"/>
      </w:r>
      <w:r>
        <w:instrText xml:space="preserve"> HYPERLINK \l "_Toc128756549" </w:instrText>
      </w:r>
      <w:r>
        <w:fldChar w:fldCharType="separate"/>
      </w:r>
      <w:r>
        <w:rPr>
          <w:rStyle w:val="13"/>
          <w:rFonts w:hint="eastAsia"/>
        </w:rPr>
        <w:t>（二十一）丰富绿色金融产品服务</w:t>
      </w:r>
      <w:r>
        <w:tab/>
      </w:r>
      <w:r>
        <w:fldChar w:fldCharType="begin"/>
      </w:r>
      <w:r>
        <w:instrText xml:space="preserve"> PAGEREF _Toc128756549 \h </w:instrText>
      </w:r>
      <w:r>
        <w:fldChar w:fldCharType="separate"/>
      </w:r>
      <w:r>
        <w:t>136</w:t>
      </w:r>
      <w:r>
        <w:fldChar w:fldCharType="end"/>
      </w:r>
      <w:r>
        <w:fldChar w:fldCharType="end"/>
      </w:r>
    </w:p>
    <w:p>
      <w:pPr>
        <w:ind w:firstLine="0" w:firstLineChars="0"/>
      </w:pPr>
      <w:r>
        <w:rPr>
          <w:b/>
          <w:bCs/>
          <w:lang w:val="zh-CN"/>
        </w:rPr>
        <w:fldChar w:fldCharType="end"/>
      </w:r>
    </w:p>
    <w:p/>
    <w:p>
      <w:pPr>
        <w:widowControl/>
        <w:spacing w:line="240" w:lineRule="auto"/>
        <w:ind w:firstLine="0" w:firstLineChars="0"/>
        <w:textAlignment w:val="auto"/>
        <w:rPr>
          <w:iCs/>
        </w:rPr>
        <w:sectPr>
          <w:footerReference r:id="rId13" w:type="default"/>
          <w:footerReference r:id="rId14" w:type="even"/>
          <w:pgSz w:w="11907" w:h="16839"/>
          <w:pgMar w:top="1985" w:right="1616" w:bottom="1814" w:left="1616" w:header="851" w:footer="1474" w:gutter="0"/>
          <w:pgNumType w:fmt="numberInDash" w:start="1"/>
          <w:cols w:space="720" w:num="1"/>
          <w:docGrid w:type="lines" w:linePitch="408" w:charSpace="0"/>
        </w:sectPr>
      </w:pPr>
    </w:p>
    <w:p>
      <w:pPr>
        <w:snapToGrid w:val="0"/>
      </w:pPr>
      <w:r>
        <w:t>近年来，我国以风电、光伏发电为代表的新能源快速发展，成</w:t>
      </w:r>
      <w:r>
        <w:rPr>
          <w:rFonts w:hint="eastAsia"/>
        </w:rPr>
        <w:t>效</w:t>
      </w:r>
      <w:r>
        <w:t>显著，在能源体系中发挥越来越重要的作用。同时，新能源发展不平衡不充分问题逐渐凸显，土地资源的约束越发显著，突出表现在电力系统对大规模高比例新能源接网消纳的适应性不足、全社会绿色消费意识不强、新能源与其他领域融合发展不够等方面，新时代新能源高比例、高质量发展仍面临诸多制约因素。</w:t>
      </w:r>
    </w:p>
    <w:p>
      <w:pPr>
        <w:snapToGrid w:val="0"/>
      </w:pPr>
      <w:r>
        <w:t>为深入贯彻落实习近平总书记的重要讲话和指示精神，促进新时代新能源高质量发展，《实施方案》坚持以习近平新时代中国特色社会主义思想为指导，完整、准确、全面贯彻新发展理念，统筹发展和安全，坚持先立后破、通盘谋划。围绕新能源发展的难点、堵点问题，在创新开发利用模式、构建新型电力系统、深化</w:t>
      </w:r>
      <w:r>
        <w:rPr>
          <w:rFonts w:hint="eastAsia" w:ascii="方正仿宋_GBK" w:hAnsi="方正仿宋_GBK"/>
        </w:rPr>
        <w:t>“</w:t>
      </w:r>
      <w:r>
        <w:t>放管服</w:t>
      </w:r>
      <w:r>
        <w:rPr>
          <w:rFonts w:hint="eastAsia" w:ascii="方正仿宋_GBK" w:hAnsi="方正仿宋_GBK"/>
        </w:rPr>
        <w:t>”</w:t>
      </w:r>
      <w:r>
        <w:t>改革、支持引导产业健康发展、保障合理空间需求、充分发挥生态环境保护效益、完善财政金融政策等七个方面完善政策措施，重点解决新能源</w:t>
      </w:r>
      <w:r>
        <w:rPr>
          <w:rFonts w:hint="eastAsia" w:ascii="方正仿宋_GBK" w:hAnsi="方正仿宋_GBK"/>
        </w:rPr>
        <w:t>“</w:t>
      </w:r>
      <w:r>
        <w:t>立</w:t>
      </w:r>
      <w:r>
        <w:rPr>
          <w:rFonts w:hint="eastAsia" w:ascii="方正仿宋_GBK" w:hAnsi="方正仿宋_GBK"/>
        </w:rPr>
        <w:t>”</w:t>
      </w:r>
      <w:r>
        <w:t>的问题，更好发挥新能源在能源保供增供方面的作用，为我国如期实现碳达峰、碳中和奠定坚实的新能源发展基础。</w:t>
      </w:r>
    </w:p>
    <w:p>
      <w:pPr>
        <w:pStyle w:val="2"/>
        <w:rPr>
          <w:rFonts w:ascii="Times New Roman"/>
        </w:rPr>
      </w:pPr>
      <w:bookmarkStart w:id="4" w:name="_Toc128756522"/>
      <w:r>
        <w:rPr>
          <w:rFonts w:ascii="Times New Roman"/>
        </w:rPr>
        <w:t>一、创新新能源开发利用模式</w:t>
      </w:r>
      <w:bookmarkEnd w:id="4"/>
    </w:p>
    <w:p>
      <w:r>
        <w:rPr>
          <w:rFonts w:hint="eastAsia" w:ascii="方正仿宋_GBK" w:hAnsi="方正仿宋_GBK"/>
        </w:rPr>
        <w:t>“</w:t>
      </w:r>
      <w:r>
        <w:t>十四五</w:t>
      </w:r>
      <w:r>
        <w:rPr>
          <w:rFonts w:hint="eastAsia" w:ascii="方正仿宋_GBK" w:hAnsi="方正仿宋_GBK"/>
        </w:rPr>
        <w:t>”</w:t>
      </w:r>
      <w:r>
        <w:t>期间，风电、光伏等主要新能源进入大规模、高比例、市场化、高质量发展新阶段。多方面创新新能源开发利用模式，是推动新能源跃升发展、加快能源结构转型、助力碳达峰、碳中和目标实现的重要保障。《实施方案》主要在以下四个方面提出措施建议。</w:t>
      </w:r>
    </w:p>
    <w:p>
      <w:pPr>
        <w:pStyle w:val="3"/>
        <w:rPr>
          <w:rFonts w:ascii="Times New Roman"/>
        </w:rPr>
      </w:pPr>
      <w:bookmarkStart w:id="5" w:name="_Toc128756523"/>
      <w:r>
        <w:rPr>
          <w:rFonts w:ascii="Times New Roman"/>
        </w:rPr>
        <w:t>（一）加快推进以沙漠、戈壁、荒漠地区为重点的大型风电光伏基地建设</w:t>
      </w:r>
      <w:bookmarkEnd w:id="5"/>
    </w:p>
    <w:p>
      <w:pPr>
        <w:rPr>
          <w:rFonts w:eastAsia="方正楷体_GBK"/>
        </w:rPr>
      </w:pPr>
      <w:r>
        <w:rPr>
          <w:rFonts w:eastAsia="方正楷体_GBK"/>
        </w:rPr>
        <w:t>主要政策点1：加大力度规划建设以大型风光电基地为基础、以其周边清洁高效先进节能的煤电为支撑、以稳定安全可靠的特高压输变电线路为载体的新能源供给消纳体系，在土地预审、规划选址、环境保护等方面加强协调指导，提高审批效率。</w:t>
      </w:r>
    </w:p>
    <w:p>
      <w:r>
        <w:t>经过多年努力，我国新能源产业已跨越起步、成长、规模化发展等阶段，</w:t>
      </w:r>
      <w:r>
        <w:rPr>
          <w:rFonts w:hint="eastAsia" w:ascii="方正仿宋_GBK" w:hAnsi="方正仿宋_GBK"/>
        </w:rPr>
        <w:t>“</w:t>
      </w:r>
      <w:r>
        <w:t>十四五</w:t>
      </w:r>
      <w:r>
        <w:rPr>
          <w:rFonts w:hint="eastAsia" w:ascii="方正仿宋_GBK" w:hAnsi="方正仿宋_GBK"/>
        </w:rPr>
        <w:t>”</w:t>
      </w:r>
      <w:r>
        <w:t>进入新的高质量跃升发展新时期。截至202</w:t>
      </w:r>
      <w:r>
        <w:rPr>
          <w:rFonts w:hint="eastAsia"/>
        </w:rPr>
        <w:t>2</w:t>
      </w:r>
      <w:r>
        <w:t>年底，风电总装机达3.</w:t>
      </w:r>
      <w:r>
        <w:rPr>
          <w:rFonts w:hint="eastAsia"/>
        </w:rPr>
        <w:t>65</w:t>
      </w:r>
      <w:r>
        <w:t>亿千瓦，光伏发电总装机达3.</w:t>
      </w:r>
      <w:r>
        <w:rPr>
          <w:rFonts w:hint="eastAsia"/>
        </w:rPr>
        <w:t>92</w:t>
      </w:r>
      <w:r>
        <w:t>亿千瓦，新增和累计装机连续多年稳居世界第一，此外，经过多年快速发展和规模化带动，风电、光伏产业链条日趋完备，产业链优势明显，创新研发能力不断增强，政策体系日趋完善，为产业高质量跃升发展奠定坚实基础。另一方面，我国沙漠、戈壁、荒漠地区面积广阔，风能和太阳能资源富集，技术可开发量占全国比重60%以上，适合新能源大规模开发建设。在这些地区坚持集约化、规模化开发风光项目，既有利于提高绿色电力供给能力，加大清洁低碳能源供应水平，还可以产生良好的生态效益、经济效益和减碳效益。</w:t>
      </w:r>
    </w:p>
    <w:p>
      <w:pPr>
        <w:rPr>
          <w:rFonts w:eastAsia="楷体"/>
        </w:rPr>
      </w:pPr>
      <w:r>
        <w:t>《实施方案》中提出加快推进以沙漠、戈壁、荒漠地区为重点的大型风电光伏基地建设。规划布局上，根据国家发展改革委、国家能源局等九部门联合印发的《</w:t>
      </w:r>
      <w:r>
        <w:rPr>
          <w:rFonts w:hint="eastAsia" w:ascii="方正仿宋_GBK" w:hAnsi="方正仿宋_GBK"/>
        </w:rPr>
        <w:t>“</w:t>
      </w:r>
      <w:r>
        <w:t>十四五</w:t>
      </w:r>
      <w:r>
        <w:rPr>
          <w:rFonts w:hint="eastAsia" w:ascii="方正仿宋_GBK" w:hAnsi="方正仿宋_GBK"/>
        </w:rPr>
        <w:t>”</w:t>
      </w:r>
      <w:r>
        <w:t>可再生能源发展规划》，要以风光资源为基础、以灵活调节电源为支撑、以特高压输电通道为载体，在内蒙古、青海、甘肃等西部北部的沙漠、戈壁、荒漠地区，建设一批生态友好、经济优越的大型风电光伏基地。2022年1月国家发展改革委、国家能源局发布了《关于完善能源绿色低碳转型体制机制和政策措施的意见》，提出以沙漠、戈壁、荒漠地区为重点，加快推进大型风电、光伏发电基地建设，对区域内现有煤电机组进行升级改造，探索建立送受两端协同为新能源电力输送提供调节的机制，支持新能源电力能建尽建、能并尽并、能发尽发，推动构建以清洁低碳能源为主体的能源供应体系。</w:t>
      </w:r>
    </w:p>
    <w:p>
      <w:pPr>
        <w:rPr>
          <w:rFonts w:eastAsia="楷体"/>
        </w:rPr>
      </w:pPr>
      <w:r>
        <w:rPr>
          <w:rFonts w:hint="eastAsia"/>
        </w:rPr>
        <w:t>保障能源安全，</w:t>
      </w:r>
      <w:r>
        <w:t>推动碳达峰、碳中和</w:t>
      </w:r>
      <w:r>
        <w:rPr>
          <w:rFonts w:hint="eastAsia"/>
        </w:rPr>
        <w:t>，</w:t>
      </w:r>
      <w:r>
        <w:t>推进能源绿色、清洁、低碳转型是我国未</w:t>
      </w:r>
      <w:bookmarkStart w:id="9" w:name="_GoBack"/>
      <w:bookmarkEnd w:id="9"/>
      <w:r>
        <w:t>来能源发展的核心任务，风光等新能源将作为主要支撑力量重点推进。但可用土地资源是制约风光规模化开发的关键因素之一，碎片化开发导致成本</w:t>
      </w:r>
      <w:r>
        <w:rPr>
          <w:rFonts w:hint="eastAsia"/>
          <w:lang w:eastAsia="zh-CN"/>
        </w:rPr>
        <w:t>上升</w:t>
      </w:r>
      <w:r>
        <w:rPr>
          <w:rFonts w:hint="eastAsia"/>
        </w:rPr>
        <w:t>、</w:t>
      </w:r>
      <w:r>
        <w:t>规模效益不明显</w:t>
      </w:r>
      <w:r>
        <w:rPr>
          <w:rFonts w:hint="eastAsia"/>
        </w:rPr>
        <w:t>以及</w:t>
      </w:r>
      <w:r>
        <w:t>新能源开发与消纳能力的时空不匹配也是制约新能源高比例、高质量发展的重要因素。在沙漠、戈壁、荒漠地区</w:t>
      </w:r>
      <w:r>
        <w:rPr>
          <w:rFonts w:hint="eastAsia" w:ascii="方正仿宋_GBK" w:hAnsi="方正仿宋_GBK"/>
        </w:rPr>
        <w:t>“</w:t>
      </w:r>
      <w:r>
        <w:t>加大力度规划建设以大型风光电基地为基础、以其周边清洁高效先进节能的煤电为支撑、以稳定安全可靠的特高压输变电线路为载体的新能源供给消纳体系</w:t>
      </w:r>
      <w:r>
        <w:rPr>
          <w:rFonts w:hint="eastAsia" w:ascii="方正仿宋_GBK" w:hAnsi="方正仿宋_GBK"/>
        </w:rPr>
        <w:t>”</w:t>
      </w:r>
      <w:r>
        <w:t>，在有效解决风光资源开发面临的土地资源瓶颈、碎片化问题和调峰消纳问题的同时，可以充分发挥风光新能源的绿色生态效益，改善当地气候环境，起到防风固沙、改良土壤的效果。</w:t>
      </w:r>
    </w:p>
    <w:p>
      <w:r>
        <w:t>项目落实上，2021年11月，国家发展改革委办公厅、国家能源局综合司发布了《关于印发第一批以沙漠、戈壁、荒漠地区为重点的大型风电光伏基地建设项目清单的通知》，公布了第一批大型风电光伏基地建设项目清单，项目涉及内蒙古自治区、青海省、甘肃省等18个省份和新疆生产建设兵团，总装机规模为9705万千瓦。2021年12月，国家能源局印发《关于组织拟纳入国家第二批以沙漠、戈壁、荒漠地区为重点的大型风电光伏基地项目的通知》</w:t>
      </w:r>
      <w:r>
        <w:rPr>
          <w:rFonts w:hint="eastAsia"/>
        </w:rPr>
        <w:t>。2022年7月</w:t>
      </w:r>
      <w:r>
        <w:t>，第二批项目清单正式印发，主要布局在内蒙古、宁夏、新疆、青海、甘肃等地区，</w:t>
      </w:r>
      <w:r>
        <w:rPr>
          <w:rFonts w:hint="eastAsia"/>
        </w:rPr>
        <w:t>并</w:t>
      </w:r>
      <w:r>
        <w:t>已纳入了国务院印发的扎实稳住经济一揽子政策措施当中</w:t>
      </w:r>
      <w:r>
        <w:rPr>
          <w:rFonts w:hint="eastAsia"/>
        </w:rPr>
        <w:t>。</w:t>
      </w:r>
      <w:r>
        <w:t>各地正在积极推进项目前期</w:t>
      </w:r>
      <w:r>
        <w:rPr>
          <w:rFonts w:hint="eastAsia"/>
        </w:rPr>
        <w:t>或</w:t>
      </w:r>
      <w:r>
        <w:t>建设工作。</w:t>
      </w:r>
      <w:r>
        <w:rPr>
          <w:rFonts w:hint="eastAsia"/>
        </w:rPr>
        <w:t>目前，国家发展改革委、国家能源局等有关部门正在谋划第三批项目，并将采煤沉陷区扩展纳入布局范围。</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rPr>
                <w:sz w:val="30"/>
                <w:szCs w:val="30"/>
              </w:rPr>
            </w:pPr>
            <w:r>
              <w:rPr>
                <w:sz w:val="30"/>
                <w:szCs w:val="30"/>
              </w:rPr>
              <w:t>案例1-</w:t>
            </w:r>
            <w:r>
              <w:rPr>
                <w:sz w:val="30"/>
                <w:szCs w:val="30"/>
              </w:rPr>
              <w:fldChar w:fldCharType="begin"/>
            </w:r>
            <w:r>
              <w:rPr>
                <w:sz w:val="30"/>
                <w:szCs w:val="30"/>
              </w:rPr>
              <w:instrText xml:space="preserve"> SEQ 专栏 \* ARABIC \s 1 </w:instrText>
            </w:r>
            <w:r>
              <w:rPr>
                <w:sz w:val="30"/>
                <w:szCs w:val="30"/>
              </w:rPr>
              <w:fldChar w:fldCharType="separate"/>
            </w:r>
            <w:r>
              <w:rPr>
                <w:sz w:val="30"/>
                <w:szCs w:val="30"/>
              </w:rPr>
              <w:t>1</w:t>
            </w:r>
            <w:r>
              <w:rPr>
                <w:sz w:val="30"/>
                <w:szCs w:val="30"/>
              </w:rPr>
              <w:fldChar w:fldCharType="end"/>
            </w:r>
            <w:r>
              <w:rPr>
                <w:rFonts w:hint="eastAsia"/>
                <w:sz w:val="30"/>
                <w:szCs w:val="30"/>
              </w:rPr>
              <w:t xml:space="preserve">  </w:t>
            </w:r>
            <w:r>
              <w:rPr>
                <w:sz w:val="30"/>
                <w:szCs w:val="30"/>
              </w:rPr>
              <w:t>第一批大型风光基地有序推进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40" w:lineRule="exact"/>
              <w:ind w:firstLine="560"/>
              <w:rPr>
                <w:rFonts w:eastAsia="仿宋_GB2312"/>
                <w:color w:val="000000"/>
              </w:rPr>
            </w:pPr>
            <w:r>
              <w:rPr>
                <w:sz w:val="28"/>
              </w:rPr>
              <w:t>为有效支撑实现碳达峰、碳中和目标，充分发挥沙漠、戈壁、荒漠地区风能太阳能资源丰富、建设条件好、受土地利用影响小的优势，国家发展改革委和国家能源局于2021年印发了《第一批以沙漠、戈壁、荒漠地区为重点的大型风电、光伏基地建设项目清单的通知》，在全国19个省份规划布局50个大型风电光伏光热基地项目，新能源总规模9705万千瓦。截至2022年</w:t>
            </w:r>
            <w:r>
              <w:rPr>
                <w:rFonts w:hint="eastAsia"/>
                <w:sz w:val="28"/>
              </w:rPr>
              <w:t>8</w:t>
            </w:r>
            <w:r>
              <w:rPr>
                <w:sz w:val="28"/>
              </w:rPr>
              <w:t>月</w:t>
            </w:r>
            <w:r>
              <w:rPr>
                <w:rFonts w:hint="eastAsia"/>
                <w:sz w:val="28"/>
              </w:rPr>
              <w:t>中旬</w:t>
            </w:r>
            <w:r>
              <w:rPr>
                <w:sz w:val="28"/>
              </w:rPr>
              <w:t>，</w:t>
            </w:r>
            <w:r>
              <w:rPr>
                <w:rFonts w:hint="eastAsia"/>
                <w:sz w:val="28"/>
              </w:rPr>
              <w:t>全国第一批大型风电光伏基地已全部开工，</w:t>
            </w:r>
            <w:r>
              <w:rPr>
                <w:sz w:val="28"/>
              </w:rPr>
              <w:t>项目开工容量9705万千瓦，子项目开工容量</w:t>
            </w:r>
            <w:r>
              <w:rPr>
                <w:rFonts w:hint="eastAsia"/>
                <w:sz w:val="28"/>
              </w:rPr>
              <w:t>8815</w:t>
            </w:r>
            <w:r>
              <w:rPr>
                <w:sz w:val="28"/>
              </w:rPr>
              <w:t>万千瓦，占总装机容量</w:t>
            </w:r>
            <w:r>
              <w:rPr>
                <w:rFonts w:hint="eastAsia"/>
                <w:sz w:val="28"/>
              </w:rPr>
              <w:t>9</w:t>
            </w:r>
            <w:r>
              <w:rPr>
                <w:sz w:val="28"/>
              </w:rPr>
              <w:t>0.</w:t>
            </w:r>
            <w:r>
              <w:rPr>
                <w:rFonts w:hint="eastAsia"/>
                <w:sz w:val="28"/>
              </w:rPr>
              <w:t>8</w:t>
            </w:r>
            <w:r>
              <w:rPr>
                <w:sz w:val="28"/>
              </w:rPr>
              <w:t>%；已完成并网容量</w:t>
            </w:r>
            <w:r>
              <w:rPr>
                <w:rFonts w:hint="eastAsia"/>
                <w:sz w:val="28"/>
              </w:rPr>
              <w:t>438</w:t>
            </w:r>
            <w:r>
              <w:rPr>
                <w:sz w:val="28"/>
              </w:rPr>
              <w:t>万千瓦。第一批大型风光基地推进态势良好，为大型风光基地的整体布局实施奠定了坚实的基础。</w:t>
            </w:r>
          </w:p>
        </w:tc>
      </w:tr>
    </w:tbl>
    <w:p/>
    <w:p>
      <w:pPr>
        <w:rPr>
          <w:rFonts w:eastAsia="方正楷体_GBK"/>
        </w:rPr>
      </w:pPr>
      <w:r>
        <w:rPr>
          <w:rFonts w:eastAsia="方正楷体_GBK"/>
        </w:rPr>
        <w:t>主要政策点2：按照推动煤炭和新能源优化组合的要求，鼓励</w:t>
      </w:r>
      <w:r>
        <w:rPr>
          <w:rFonts w:hint="eastAsia" w:eastAsia="方正楷体_GBK"/>
        </w:rPr>
        <w:t>煤电</w:t>
      </w:r>
      <w:r>
        <w:rPr>
          <w:rFonts w:eastAsia="方正楷体_GBK"/>
        </w:rPr>
        <w:t>企业与新能源开展实质性联营。</w:t>
      </w:r>
    </w:p>
    <w:p>
      <w:r>
        <w:rPr>
          <w:rFonts w:hint="eastAsia"/>
        </w:rPr>
        <w:t>党的二十大报告明确指出，实现</w:t>
      </w:r>
      <w:r>
        <w:t>碳达峰碳中和</w:t>
      </w:r>
      <w:r>
        <w:rPr>
          <w:rFonts w:hint="eastAsia"/>
        </w:rPr>
        <w:t>是一场广泛而深刻的经济社会系统性变革。立足我国能源资源禀赋，坚持先立后破，有计划有步骤实施碳达峰行动。</w:t>
      </w:r>
      <w:r>
        <w:t>2021年中央经济工作会议</w:t>
      </w:r>
      <w:r>
        <w:rPr>
          <w:rFonts w:hint="eastAsia" w:ascii="方正仿宋_GBK" w:hAnsi="方正仿宋_GBK"/>
        </w:rPr>
        <w:t>也</w:t>
      </w:r>
      <w:r>
        <w:t>明确提出，</w:t>
      </w:r>
      <w:r>
        <w:rPr>
          <w:rFonts w:hint="eastAsia" w:ascii="方正仿宋_GBK" w:hAnsi="方正仿宋_GBK"/>
        </w:rPr>
        <w:t>“</w:t>
      </w:r>
      <w:r>
        <w:t>要正确认识和把握碳达峰碳中和。传统能源逐步退出要建立在新能源安全可靠的替代基础上。要立足以煤为主的基本国情，抓好煤炭清洁高效利用，增加新能源消纳能力，推动煤炭和新能源优化组合</w:t>
      </w:r>
      <w:r>
        <w:rPr>
          <w:rFonts w:hint="eastAsia" w:ascii="方正仿宋_GBK" w:hAnsi="方正仿宋_GBK"/>
        </w:rPr>
        <w:t>”</w:t>
      </w:r>
      <w:r>
        <w:t>。</w:t>
      </w:r>
      <w:r>
        <w:rPr>
          <w:rFonts w:hint="eastAsia"/>
        </w:rPr>
        <w:t>因此，落实</w:t>
      </w:r>
      <w:r>
        <w:t>碳达峰碳中和目标要坚定不移，策略上要稳中求进</w:t>
      </w:r>
      <w:r>
        <w:rPr>
          <w:rFonts w:hint="eastAsia"/>
        </w:rPr>
        <w:t>。</w:t>
      </w:r>
      <w:r>
        <w:t>能源转型要在确保能源供应保障的前提下，确保稳妥有序、安全降碳。</w:t>
      </w:r>
    </w:p>
    <w:p>
      <w:r>
        <w:t>由于风光等新能源具有随机性和波动性特点，无法独立支撑用电负荷稳定运行需求，在风光大规模、高比例发展的同时，必须相应配置储能和调峰能力，尤其是近中期需要充分发挥煤电机组的调峰调频等支撑作用。以沙漠、戈壁、荒漠地区为重点建设大型风电光伏基地，无论是本地消纳还是外送消纳，目前条件下离不开煤电的支撑。</w:t>
      </w:r>
      <w:r>
        <w:rPr>
          <w:rFonts w:hint="eastAsia"/>
        </w:rPr>
        <w:t>为确保沙漠、戈壁、荒漠化地区风电光伏基地高效利用，需要坚持源网荷协同发展，明确项目利用率及消纳方向，推动新能源与其他电源、储能协调建设，实现沙漠、戈壁、荒漠化地区为重点的大型风电光伏基地与配套电网、储能及分布式调相机同步规划、同步建设、同步投运。</w:t>
      </w:r>
      <w:r>
        <w:t>推动煤炭和新能源优化组合既是我国能源发展目标和现实结合的需要，也是风光新能源技术特点和发展阶段的客观要求。</w:t>
      </w:r>
    </w:p>
    <w:p>
      <w:r>
        <w:t>《实施方案》提出，鼓励</w:t>
      </w:r>
      <w:r>
        <w:rPr>
          <w:rFonts w:hint="eastAsia"/>
        </w:rPr>
        <w:t>煤电企</w:t>
      </w:r>
      <w:r>
        <w:t>业与新能源开展实质性联营，例如利用</w:t>
      </w:r>
      <w:r>
        <w:rPr>
          <w:rFonts w:hint="eastAsia"/>
        </w:rPr>
        <w:t>采煤</w:t>
      </w:r>
      <w:r>
        <w:t>沉陷区、排土场、电厂闲置空地、铁路沿线闲置空地和电厂灰场等区域，投资建设、运营新能源发电项目，并与已建的煤电项目实现实质性联营，解决电力支撑、调峰调频与新能源生产之间的协作问题，避免由于新能源生产与辅助服务分离导致的市场主体间沟通协调不畅和利益分配失衡，破除因市场主体不同导致的利益壁垒和生产障碍，促进风光火储综合能源供给模式的构建，推动新型电力系统建设。</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rPr>
                <w:sz w:val="30"/>
                <w:szCs w:val="30"/>
              </w:rPr>
            </w:pPr>
            <w:r>
              <w:rPr>
                <w:sz w:val="30"/>
                <w:szCs w:val="30"/>
              </w:rPr>
              <w:t>案例1-</w:t>
            </w:r>
            <w:r>
              <w:rPr>
                <w:rFonts w:hint="eastAsia"/>
                <w:sz w:val="30"/>
                <w:szCs w:val="30"/>
              </w:rPr>
              <w:t xml:space="preserve">2  </w:t>
            </w:r>
            <w:r>
              <w:rPr>
                <w:sz w:val="28"/>
              </w:rPr>
              <w:t>煤电灵活性改造提升新能源消纳能力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rPr>
                <w:sz w:val="28"/>
              </w:rPr>
            </w:pPr>
            <w:r>
              <w:rPr>
                <w:rFonts w:hint="eastAsia" w:ascii="方正仿宋_GBK" w:hAnsi="方正仿宋_GBK"/>
                <w:sz w:val="28"/>
              </w:rPr>
              <w:t>“</w:t>
            </w:r>
            <w:r>
              <w:rPr>
                <w:sz w:val="28"/>
              </w:rPr>
              <w:t>十三五</w:t>
            </w:r>
            <w:r>
              <w:rPr>
                <w:rFonts w:hint="eastAsia" w:ascii="方正仿宋_GBK" w:hAnsi="方正仿宋_GBK"/>
                <w:sz w:val="28"/>
              </w:rPr>
              <w:t>”</w:t>
            </w:r>
            <w:r>
              <w:rPr>
                <w:sz w:val="28"/>
              </w:rPr>
              <w:t>以来，我国启动煤电灵活性改造工作，推动煤电企业开展深度调峰、热电解耦等多种技术路线探索，煤电机组最小发电出力从50%至60%额定容量可降至30%到35%，部分机组甚至可低至20%到25%，可调节范围大大增加。</w:t>
            </w:r>
            <w:r>
              <w:rPr>
                <w:rFonts w:hint="eastAsia"/>
                <w:sz w:val="28"/>
              </w:rPr>
              <w:t>截至</w:t>
            </w:r>
            <w:r>
              <w:rPr>
                <w:sz w:val="28"/>
              </w:rPr>
              <w:t>202</w:t>
            </w:r>
            <w:r>
              <w:rPr>
                <w:rFonts w:hint="eastAsia"/>
                <w:sz w:val="28"/>
              </w:rPr>
              <w:t>2</w:t>
            </w:r>
            <w:r>
              <w:rPr>
                <w:sz w:val="28"/>
              </w:rPr>
              <w:t>年底，煤电灵活性改造规模超过</w:t>
            </w:r>
            <w:r>
              <w:rPr>
                <w:rFonts w:hint="eastAsia"/>
                <w:sz w:val="28"/>
              </w:rPr>
              <w:t>2.5</w:t>
            </w:r>
            <w:r>
              <w:rPr>
                <w:sz w:val="28"/>
              </w:rPr>
              <w:t>亿千瓦，有效提高了电力系统灵活调节能力，也更好促进了可再生能源发展。</w:t>
            </w:r>
          </w:p>
          <w:p>
            <w:pPr>
              <w:spacing w:line="520" w:lineRule="exact"/>
              <w:ind w:firstLine="560"/>
              <w:rPr>
                <w:sz w:val="28"/>
              </w:rPr>
            </w:pPr>
            <w:r>
              <w:rPr>
                <w:sz w:val="28"/>
              </w:rPr>
              <w:t>我国能源资源禀赋决定了煤电在相当长时间内仍将承担保障电力安全供应的重要作用。202</w:t>
            </w:r>
            <w:r>
              <w:rPr>
                <w:rFonts w:hint="eastAsia"/>
                <w:sz w:val="28"/>
              </w:rPr>
              <w:t>2</w:t>
            </w:r>
            <w:r>
              <w:rPr>
                <w:sz w:val="28"/>
              </w:rPr>
              <w:t>年</w:t>
            </w:r>
            <w:r>
              <w:rPr>
                <w:rFonts w:hint="eastAsia"/>
                <w:sz w:val="28"/>
              </w:rPr>
              <w:t>底</w:t>
            </w:r>
            <w:r>
              <w:rPr>
                <w:sz w:val="28"/>
              </w:rPr>
              <w:t>全国煤电装机占比4</w:t>
            </w:r>
            <w:r>
              <w:rPr>
                <w:rFonts w:hint="eastAsia"/>
                <w:sz w:val="28"/>
              </w:rPr>
              <w:t>4</w:t>
            </w:r>
            <w:r>
              <w:rPr>
                <w:sz w:val="28"/>
              </w:rPr>
              <w:t>%，发电用煤占全国煤炭总消费的比重超过一半</w:t>
            </w:r>
            <w:r>
              <w:rPr>
                <w:rFonts w:hint="eastAsia"/>
                <w:sz w:val="28"/>
              </w:rPr>
              <w:t>。</w:t>
            </w:r>
          </w:p>
          <w:p>
            <w:pPr>
              <w:spacing w:line="520" w:lineRule="exact"/>
              <w:ind w:firstLine="560"/>
              <w:rPr>
                <w:rFonts w:eastAsia="仿宋_GB2312"/>
                <w:color w:val="000000"/>
              </w:rPr>
            </w:pPr>
            <w:r>
              <w:rPr>
                <w:rFonts w:hint="eastAsia"/>
                <w:sz w:val="28"/>
              </w:rPr>
              <w:t>构建</w:t>
            </w:r>
            <w:r>
              <w:rPr>
                <w:sz w:val="28"/>
              </w:rPr>
              <w:t>新型电力系统，煤电清洁、高效、灵活、低碳转型步伐还需加快。要大力推动煤电节能降碳改造、灵活性改造、供热改造</w:t>
            </w:r>
            <w:r>
              <w:rPr>
                <w:rFonts w:hint="eastAsia" w:ascii="方正仿宋_GBK" w:hAnsi="方正仿宋_GBK"/>
                <w:sz w:val="28"/>
              </w:rPr>
              <w:t>“</w:t>
            </w:r>
            <w:r>
              <w:rPr>
                <w:sz w:val="28"/>
              </w:rPr>
              <w:t>三改联动</w:t>
            </w:r>
            <w:r>
              <w:rPr>
                <w:rFonts w:hint="eastAsia" w:ascii="方正仿宋_GBK" w:hAnsi="方正仿宋_GBK"/>
                <w:sz w:val="28"/>
              </w:rPr>
              <w:t>”</w:t>
            </w:r>
            <w:r>
              <w:rPr>
                <w:sz w:val="28"/>
              </w:rPr>
              <w:t>，明确煤电要加快由主体电源向提供可靠容量、调峰调频等辅助服务的基础保障性和系统调节性电源转型。2021年10月，国家发展改革委、国家能源局联合印发《全国煤电机组改造升级实施方案》，提出</w:t>
            </w:r>
            <w:r>
              <w:rPr>
                <w:rFonts w:hint="eastAsia" w:ascii="方正仿宋_GBK" w:hAnsi="方正仿宋_GBK"/>
                <w:sz w:val="28"/>
              </w:rPr>
              <w:t>“</w:t>
            </w:r>
            <w:r>
              <w:rPr>
                <w:sz w:val="28"/>
              </w:rPr>
              <w:t>十四五</w:t>
            </w:r>
            <w:r>
              <w:rPr>
                <w:rFonts w:hint="eastAsia" w:ascii="方正仿宋_GBK" w:hAnsi="方正仿宋_GBK"/>
                <w:sz w:val="28"/>
              </w:rPr>
              <w:t>”</w:t>
            </w:r>
            <w:r>
              <w:rPr>
                <w:sz w:val="28"/>
              </w:rPr>
              <w:t>期间，煤电节能降碳改造规模不低于3.5亿千瓦、供热改造规模力争达到5000万千瓦、灵活性改造完成2亿千瓦。按此规模测算，预计可节约煤炭消费5000万吨以上，提升新能源消纳能力5000万千瓦以上，更好推动煤炭和新能源优化组合。</w:t>
            </w:r>
          </w:p>
        </w:tc>
      </w:tr>
    </w:tbl>
    <w:p/>
    <w:p>
      <w:pPr>
        <w:pStyle w:val="3"/>
        <w:rPr>
          <w:rFonts w:ascii="Times New Roman"/>
        </w:rPr>
      </w:pPr>
      <w:bookmarkStart w:id="6" w:name="_Toc128756524"/>
      <w:r>
        <w:rPr>
          <w:rFonts w:ascii="Times New Roman"/>
        </w:rPr>
        <w:t>（二）促进新能源开发利用与乡村振兴融合发展</w:t>
      </w:r>
      <w:bookmarkEnd w:id="6"/>
    </w:p>
    <w:p>
      <w:pPr>
        <w:rPr>
          <w:rFonts w:eastAsia="方正楷体_GBK"/>
        </w:rPr>
      </w:pPr>
      <w:r>
        <w:rPr>
          <w:rFonts w:eastAsia="方正楷体_GBK"/>
        </w:rPr>
        <w:t>主要政策点1：鼓励地方政府加大力度支持农民利用自有建筑屋顶建设户用光伏，积极推进乡村分散式风电开发。</w:t>
      </w:r>
    </w:p>
    <w:p>
      <w:r>
        <w:t>大力发展分布式光伏、分散式风电等分布式新能源是助力推进碳达峰、碳中和的重要途径之一。分布式光伏方面，2013年以来国家出台了一系列行之有效的政策，推动分布式光伏发展。2019年开始，对户用光伏实行单独管理，明确户用光伏年度补贴资金总额度，为户用光伏项目提供固定度电补贴支持，推动户用光伏发展进入快车道。202</w:t>
      </w:r>
      <w:r>
        <w:rPr>
          <w:rFonts w:hint="eastAsia"/>
        </w:rPr>
        <w:t>2</w:t>
      </w:r>
      <w:r>
        <w:t>年户用光伏新增装机达到</w:t>
      </w:r>
      <w:r>
        <w:rPr>
          <w:rFonts w:hint="eastAsia"/>
        </w:rPr>
        <w:t>2525</w:t>
      </w:r>
      <w:r>
        <w:t>万千瓦，约占全部光伏新增装机的</w:t>
      </w:r>
      <w:r>
        <w:rPr>
          <w:rFonts w:hint="eastAsia"/>
        </w:rPr>
        <w:t>29</w:t>
      </w:r>
      <w:r>
        <w:t>%，成为新能源发展新亮点。</w:t>
      </w:r>
    </w:p>
    <w:p>
      <w:r>
        <w:t>分散式风电方面，2011年国家能源局出台了相关政策，明确分散式风电开发的主要思路与边界条件，开启分散式风电开发模式的探索。2018年以来，随着国家政策的支持和推动，各地加大对分散式风电的重视程度，分散式风电市场规模</w:t>
      </w:r>
      <w:r>
        <w:rPr>
          <w:rFonts w:hint="eastAsia"/>
        </w:rPr>
        <w:t>逐步</w:t>
      </w:r>
      <w:r>
        <w:t>扩大，2021年底，分散式风电累计装机规模接近1000万千瓦。</w:t>
      </w:r>
    </w:p>
    <w:p>
      <w:r>
        <w:t>农村分布式新能源发展前景广阔，但也面临着诸多挑战。</w:t>
      </w:r>
      <w:r>
        <w:rPr>
          <w:rFonts w:hint="eastAsia" w:ascii="方正仿宋_GBK"/>
          <w:b/>
        </w:rPr>
        <w:t>一方面对于接入消纳，</w:t>
      </w:r>
      <w:r>
        <w:t>农村电网的架构相对薄弱，分布式新能源接入瓶颈和电能质量问题较为突出，同时农村地区用电负荷较低，分布式新能源消纳空间有限。</w:t>
      </w:r>
      <w:r>
        <w:rPr>
          <w:rFonts w:hint="eastAsia" w:ascii="方正仿宋_GBK"/>
          <w:b/>
        </w:rPr>
        <w:t>另一方面对于投资融资，</w:t>
      </w:r>
      <w:r>
        <w:t>分布式光伏因体量小、投资规模小，存在企业开发项目融资困难、利率偏高等问题，尤其是对于民营企业、中小型企业，融资渠道不畅、融资成本高的现象更为突出。</w:t>
      </w:r>
    </w:p>
    <w:p>
      <w:r>
        <w:t>2021年6月，国家能源局启动</w:t>
      </w:r>
      <w:r>
        <w:rPr>
          <w:rFonts w:hint="eastAsia"/>
        </w:rPr>
        <w:t>了</w:t>
      </w:r>
      <w:r>
        <w:t>整县</w:t>
      </w:r>
      <w:r>
        <w:rPr>
          <w:rFonts w:hint="eastAsia"/>
        </w:rPr>
        <w:t>屋顶</w:t>
      </w:r>
      <w:r>
        <w:t>分布式光伏</w:t>
      </w:r>
      <w:r>
        <w:rPr>
          <w:rFonts w:hint="eastAsia"/>
        </w:rPr>
        <w:t>开发</w:t>
      </w:r>
      <w:r>
        <w:t>试点</w:t>
      </w:r>
      <w:r>
        <w:rPr>
          <w:rFonts w:hint="eastAsia"/>
        </w:rPr>
        <w:t>工作</w:t>
      </w:r>
      <w:r>
        <w:t>，</w:t>
      </w:r>
      <w:r>
        <w:rPr>
          <w:rFonts w:hint="eastAsia"/>
        </w:rPr>
        <w:t>将</w:t>
      </w:r>
      <w:r>
        <w:t>分布式光伏作为从脱贫攻坚到乡村振兴有效衔接</w:t>
      </w:r>
      <w:r>
        <w:rPr>
          <w:rFonts w:hint="eastAsia"/>
        </w:rPr>
        <w:t>的</w:t>
      </w:r>
      <w:r>
        <w:t>重要</w:t>
      </w:r>
      <w:r>
        <w:rPr>
          <w:rFonts w:hint="eastAsia"/>
        </w:rPr>
        <w:t>措施</w:t>
      </w:r>
      <w:r>
        <w:t>。《</w:t>
      </w:r>
      <w:r>
        <w:rPr>
          <w:rFonts w:hint="eastAsia" w:ascii="方正仿宋_GBK" w:hAnsi="方正仿宋_GBK"/>
        </w:rPr>
        <w:t>“</w:t>
      </w:r>
      <w:r>
        <w:t>十四五</w:t>
      </w:r>
      <w:r>
        <w:rPr>
          <w:rFonts w:hint="eastAsia" w:ascii="方正仿宋_GBK" w:hAnsi="方正仿宋_GBK"/>
        </w:rPr>
        <w:t>”</w:t>
      </w:r>
      <w:r>
        <w:t>可再生能源发展规划》提出</w:t>
      </w:r>
      <w:r>
        <w:rPr>
          <w:rFonts w:hint="eastAsia"/>
        </w:rPr>
        <w:t>，</w:t>
      </w:r>
      <w:r>
        <w:t>在分布式光伏开发、农村电网巩固提升等方面与乡村振兴融合发展，并启动实施</w:t>
      </w:r>
      <w:r>
        <w:rPr>
          <w:rFonts w:hint="eastAsia" w:ascii="方正仿宋_GBK" w:hAnsi="方正仿宋_GBK"/>
        </w:rPr>
        <w:t>“</w:t>
      </w:r>
      <w:r>
        <w:t>千乡万村驭风行动</w:t>
      </w:r>
      <w:r>
        <w:rPr>
          <w:rFonts w:hint="eastAsia" w:ascii="方正仿宋_GBK" w:hAnsi="方正仿宋_GBK"/>
        </w:rPr>
        <w:t>”</w:t>
      </w:r>
      <w:r>
        <w:t>和</w:t>
      </w:r>
      <w:r>
        <w:rPr>
          <w:rFonts w:hint="eastAsia" w:ascii="方正仿宋_GBK" w:hAnsi="方正仿宋_GBK"/>
        </w:rPr>
        <w:t>“</w:t>
      </w:r>
      <w:r>
        <w:t>千家万户沐光行动</w:t>
      </w:r>
      <w:r>
        <w:rPr>
          <w:rFonts w:hint="eastAsia" w:ascii="方正仿宋_GBK" w:hAnsi="方正仿宋_GBK"/>
        </w:rPr>
        <w:t>”</w:t>
      </w:r>
      <w:r>
        <w:t>。《实施方案》明确提出鼓励地方政府通过出台支持政策，加大力度促进农村户用光伏、乡村分散式风电的开发，将进一步推动农村地区分布式新能源发展。</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rPr>
                <w:sz w:val="30"/>
                <w:szCs w:val="30"/>
              </w:rPr>
            </w:pPr>
            <w:r>
              <w:rPr>
                <w:sz w:val="30"/>
                <w:szCs w:val="30"/>
              </w:rPr>
              <w:t>案例1-</w:t>
            </w:r>
            <w:r>
              <w:rPr>
                <w:rFonts w:hint="eastAsia"/>
                <w:sz w:val="30"/>
                <w:szCs w:val="30"/>
              </w:rPr>
              <w:t>3  各地积极推进</w:t>
            </w:r>
            <w:r>
              <w:rPr>
                <w:sz w:val="30"/>
                <w:szCs w:val="30"/>
              </w:rPr>
              <w:t>整县屋顶分布式光伏</w:t>
            </w:r>
            <w:r>
              <w:rPr>
                <w:rFonts w:hint="eastAsia"/>
                <w:sz w:val="30"/>
                <w:szCs w:val="30"/>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rPr>
                <w:sz w:val="28"/>
              </w:rPr>
            </w:pPr>
            <w:r>
              <w:rPr>
                <w:sz w:val="28"/>
              </w:rPr>
              <w:t>2021年国家</w:t>
            </w:r>
            <w:r>
              <w:rPr>
                <w:rFonts w:hint="eastAsia"/>
                <w:sz w:val="28"/>
              </w:rPr>
              <w:t>启动</w:t>
            </w:r>
            <w:r>
              <w:rPr>
                <w:sz w:val="28"/>
              </w:rPr>
              <w:t>整县（市、区）屋顶分布式光伏开发试点，</w:t>
            </w:r>
            <w:r>
              <w:rPr>
                <w:rFonts w:hint="eastAsia"/>
                <w:sz w:val="28"/>
              </w:rPr>
              <w:t>根据各地申报情况，</w:t>
            </w:r>
            <w:r>
              <w:rPr>
                <w:sz w:val="28"/>
              </w:rPr>
              <w:t>国家能源局公布</w:t>
            </w:r>
            <w:r>
              <w:rPr>
                <w:rFonts w:hint="eastAsia"/>
                <w:sz w:val="28"/>
              </w:rPr>
              <w:t>了</w:t>
            </w:r>
            <w:r>
              <w:rPr>
                <w:sz w:val="28"/>
              </w:rPr>
              <w:t>共676个县</w:t>
            </w:r>
            <w:r>
              <w:rPr>
                <w:rFonts w:hint="eastAsia"/>
                <w:sz w:val="28"/>
              </w:rPr>
              <w:t>的</w:t>
            </w:r>
            <w:r>
              <w:rPr>
                <w:sz w:val="28"/>
              </w:rPr>
              <w:t>试点县名单。整县推进分布式光伏</w:t>
            </w:r>
            <w:r>
              <w:rPr>
                <w:rFonts w:hint="eastAsia"/>
                <w:sz w:val="28"/>
              </w:rPr>
              <w:t>的优势是有助于屋顶资源协调和促进配电网升级改造，也有利于降低分布式开发成本、提升运维水平</w:t>
            </w:r>
            <w:r>
              <w:rPr>
                <w:sz w:val="28"/>
              </w:rPr>
              <w:t>。</w:t>
            </w:r>
            <w:r>
              <w:rPr>
                <w:rFonts w:hint="eastAsia"/>
                <w:sz w:val="28"/>
              </w:rPr>
              <w:t>更重要的意义是既</w:t>
            </w:r>
            <w:r>
              <w:rPr>
                <w:sz w:val="28"/>
              </w:rPr>
              <w:t>与乡村振兴战略有着诸多契合点</w:t>
            </w:r>
            <w:r>
              <w:rPr>
                <w:rFonts w:hint="eastAsia"/>
                <w:sz w:val="28"/>
              </w:rPr>
              <w:t>，又作</w:t>
            </w:r>
            <w:r>
              <w:rPr>
                <w:sz w:val="28"/>
              </w:rPr>
              <w:t>为推动新型电力系统建设的一块重要</w:t>
            </w:r>
            <w:r>
              <w:rPr>
                <w:rFonts w:hint="eastAsia" w:ascii="方正仿宋_GBK" w:hAnsi="方正仿宋_GBK"/>
                <w:sz w:val="28"/>
              </w:rPr>
              <w:t>“</w:t>
            </w:r>
            <w:r>
              <w:rPr>
                <w:sz w:val="28"/>
              </w:rPr>
              <w:t>拼图</w:t>
            </w:r>
            <w:r>
              <w:rPr>
                <w:rFonts w:hint="eastAsia" w:ascii="方正仿宋_GBK" w:hAnsi="方正仿宋_GBK"/>
                <w:sz w:val="28"/>
              </w:rPr>
              <w:t>”</w:t>
            </w:r>
            <w:r>
              <w:rPr>
                <w:sz w:val="28"/>
              </w:rPr>
              <w:t>，在能源革命中发挥至关重要的作用。</w:t>
            </w:r>
          </w:p>
          <w:p>
            <w:pPr>
              <w:spacing w:line="520" w:lineRule="exact"/>
              <w:ind w:firstLine="560"/>
              <w:rPr>
                <w:rFonts w:eastAsia="仿宋_GB2312"/>
                <w:color w:val="000000"/>
              </w:rPr>
            </w:pPr>
            <w:r>
              <w:rPr>
                <w:rFonts w:hint="eastAsia"/>
                <w:sz w:val="28"/>
              </w:rPr>
              <w:t>根据各地上报情况</w:t>
            </w:r>
            <w:r>
              <w:rPr>
                <w:sz w:val="28"/>
              </w:rPr>
              <w:t>统计，项目开发主体</w:t>
            </w:r>
            <w:r>
              <w:rPr>
                <w:rFonts w:hint="eastAsia"/>
                <w:sz w:val="28"/>
              </w:rPr>
              <w:t>中，</w:t>
            </w:r>
            <w:r>
              <w:rPr>
                <w:sz w:val="28"/>
              </w:rPr>
              <w:t>央企、地方国企、民企成立公司的合作投资开发模式占比超过60%。2021年全国整县屋顶分布式光伏试点县累计备案容量4623万千瓦</w:t>
            </w:r>
            <w:r>
              <w:rPr>
                <w:rFonts w:hint="eastAsia"/>
                <w:sz w:val="28"/>
              </w:rPr>
              <w:t>，</w:t>
            </w:r>
            <w:r>
              <w:rPr>
                <w:sz w:val="28"/>
              </w:rPr>
              <w:t>主要分布在山东、河南和浙江；累计并网容量1778万千瓦，主要分布在山东、浙江和广东</w:t>
            </w:r>
            <w:r>
              <w:rPr>
                <w:rFonts w:hint="eastAsia"/>
                <w:sz w:val="28"/>
              </w:rPr>
              <w:t>。</w:t>
            </w:r>
          </w:p>
        </w:tc>
      </w:tr>
    </w:tbl>
    <w:p/>
    <w:p>
      <w:pPr>
        <w:rPr>
          <w:rFonts w:eastAsia="方正楷体_GBK"/>
        </w:rPr>
      </w:pPr>
      <w:r>
        <w:rPr>
          <w:rFonts w:eastAsia="方正楷体_GBK"/>
        </w:rPr>
        <w:t>主要政策点2：统筹农村能源革命与农村集体经济发展，培育农村能源合作社等新型市场主体，鼓励村集体依法利用存量集体土地通过作价入股、收益共享等机制，参与新能源项目开发。</w:t>
      </w:r>
    </w:p>
    <w:p>
      <w:r>
        <w:t>农业兼具</w:t>
      </w:r>
      <w:r>
        <w:rPr>
          <w:rFonts w:hint="eastAsia" w:ascii="方正仿宋_GBK" w:hAnsi="方正仿宋_GBK"/>
        </w:rPr>
        <w:t>“</w:t>
      </w:r>
      <w:r>
        <w:t>碳源</w:t>
      </w:r>
      <w:r>
        <w:rPr>
          <w:rFonts w:hint="eastAsia" w:ascii="方正仿宋_GBK" w:hAnsi="方正仿宋_GBK"/>
        </w:rPr>
        <w:t>”</w:t>
      </w:r>
      <w:r>
        <w:t>、</w:t>
      </w:r>
      <w:r>
        <w:rPr>
          <w:rFonts w:hint="eastAsia" w:ascii="方正仿宋_GBK" w:hAnsi="方正仿宋_GBK"/>
        </w:rPr>
        <w:t>“</w:t>
      </w:r>
      <w:r>
        <w:t>碳汇</w:t>
      </w:r>
      <w:r>
        <w:rPr>
          <w:rFonts w:hint="eastAsia" w:ascii="方正仿宋_GBK" w:hAnsi="方正仿宋_GBK"/>
        </w:rPr>
        <w:t>”</w:t>
      </w:r>
      <w:r>
        <w:t>两大属性，节能降碳潜力巨大。碳达峰、碳中和是</w:t>
      </w:r>
      <w:r>
        <w:rPr>
          <w:rFonts w:hint="eastAsia"/>
        </w:rPr>
        <w:t>重要战略</w:t>
      </w:r>
      <w:r>
        <w:t>，关系到我国在国际经济社会发展、外交格局、生态环境保护等方面的影响力；乡村振兴是国之大计，关系到民生、民富、民强，是推动农村地区发展的国家发展战略。推动农村地区新能源开发利用，是改善农村能源生产和消费结构、促进乡村振兴的重要支撑。目前，以</w:t>
      </w:r>
      <w:r>
        <w:rPr>
          <w:rFonts w:hint="eastAsia"/>
        </w:rPr>
        <w:t>“</w:t>
      </w:r>
      <w:r>
        <w:t>新能源+</w:t>
      </w:r>
      <w:r>
        <w:rPr>
          <w:rFonts w:hint="eastAsia"/>
        </w:rPr>
        <w:t>”</w:t>
      </w:r>
      <w:r>
        <w:t>产业促进农村地区发展，部分地区已经取得了一定的发展成果或者进行了相应的探索，利用方向主要集中在各类</w:t>
      </w:r>
      <w:r>
        <w:rPr>
          <w:rFonts w:hint="eastAsia"/>
        </w:rPr>
        <w:t>“</w:t>
      </w:r>
      <w:r>
        <w:t>光伏+</w:t>
      </w:r>
      <w:r>
        <w:rPr>
          <w:rFonts w:hint="eastAsia"/>
        </w:rPr>
        <w:t>”</w:t>
      </w:r>
      <w:r>
        <w:t>、生物质能综合利用、风电、小水电扶贫工程等方面。</w:t>
      </w:r>
    </w:p>
    <w:p>
      <w:pPr>
        <w:rPr>
          <w:color w:val="191919"/>
          <w:shd w:val="clear" w:color="auto" w:fill="FFFFFF"/>
        </w:rPr>
      </w:pPr>
      <w:r>
        <w:t>新能源在农村地区具有广阔的应用空间，目前除户用光伏外，农民或农村集体经济参与新能源开发的规模、方式有限，主要以土地租赁的方式参与新能源项目开发，参与度不高。新能源规模化开发利用主要以国家以及大型企业投资为主，投资规模大，相关的融资、收益机制在农村地区适用性不强，需要探寻小规模区域新能源利用模式，在乡村地区进行推广与利用。此外，农村能源的管理职能较为分散，各个部门之间的联动、合作机制较弱，资金投入也较为有限，缺少技术、市场、人员投入等相关方面的合作机制，尚</w:t>
      </w:r>
      <w:r>
        <w:rPr>
          <w:rFonts w:hint="eastAsia"/>
        </w:rPr>
        <w:t>未</w:t>
      </w:r>
      <w:r>
        <w:t>形成一套可持续发展的市场激励机制和技术服务体系</w:t>
      </w:r>
      <w:r>
        <w:rPr>
          <w:rFonts w:hint="eastAsia"/>
        </w:rPr>
        <w:t>以</w:t>
      </w:r>
      <w:r>
        <w:t>适应新能源发展的需要。《实施方案》在投资合作机制、收益共享机制等方面给出了发展建议与引导方向。</w:t>
      </w:r>
    </w:p>
    <w:p>
      <w:r>
        <w:t>《</w:t>
      </w:r>
      <w:r>
        <w:rPr>
          <w:rFonts w:hint="eastAsia" w:ascii="方正仿宋_GBK" w:hAnsi="方正仿宋_GBK"/>
        </w:rPr>
        <w:t>“</w:t>
      </w:r>
      <w:r>
        <w:t>十四五</w:t>
      </w:r>
      <w:r>
        <w:rPr>
          <w:rFonts w:hint="eastAsia" w:ascii="方正仿宋_GBK" w:hAnsi="方正仿宋_GBK"/>
        </w:rPr>
        <w:t>”</w:t>
      </w:r>
      <w:r>
        <w:t>可再生能源发展规划》提出，培育乡村能源合作社等新型集体经济模式，支持乡村振兴。《实施方案》进一步提出将农村能源革命与农村集体经济发展相结合</w:t>
      </w:r>
      <w:r>
        <w:rPr>
          <w:rFonts w:hint="eastAsia"/>
        </w:rPr>
        <w:t>，</w:t>
      </w:r>
      <w:r>
        <w:t>通过清洁能源的应用带动农村能源结构调整，满足农村地区日常用电、供暖等用能需求，在提升农村地区生活质量的同时实现能源清洁化，助力推进碳达峰、碳中和</w:t>
      </w:r>
      <w:r>
        <w:rPr>
          <w:rFonts w:hint="eastAsia"/>
        </w:rPr>
        <w:t>；通过</w:t>
      </w:r>
      <w:r>
        <w:t>发展</w:t>
      </w:r>
      <w:r>
        <w:rPr>
          <w:rFonts w:hint="eastAsia"/>
        </w:rPr>
        <w:t>和</w:t>
      </w:r>
      <w:r>
        <w:t>完善在农村集体土地所有制基础之上的农村集体经济制度，更充分地利用本地资源、更公平地分享经济社会发展成果，是实现全社会共同富裕与能源转型的重要途径。</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outlineLvl w:val="9"/>
              <w:rPr>
                <w:sz w:val="30"/>
                <w:szCs w:val="30"/>
              </w:rPr>
            </w:pPr>
            <w:r>
              <w:rPr>
                <w:sz w:val="30"/>
                <w:szCs w:val="30"/>
              </w:rPr>
              <w:t>案例1-</w:t>
            </w:r>
            <w:r>
              <w:rPr>
                <w:rFonts w:hint="eastAsia"/>
                <w:sz w:val="30"/>
                <w:szCs w:val="30"/>
              </w:rPr>
              <w:t xml:space="preserve">4  </w:t>
            </w:r>
            <w:r>
              <w:rPr>
                <w:sz w:val="30"/>
                <w:szCs w:val="30"/>
              </w:rPr>
              <w:t>河南分散式风电开发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rPr>
                <w:sz w:val="28"/>
              </w:rPr>
            </w:pPr>
            <w:r>
              <w:rPr>
                <w:sz w:val="28"/>
              </w:rPr>
              <w:t>河南平顶山凤凰岭风电场是首批民营企业投资的分散式风电项目，总容量12兆瓦，2018年底正式并网发电。项目采用了村集体经济入股项目公司的开发模式，按照村集体经济实际所出资本金进行持股，每年按照股比进行收益分红。分散式风电相对集中式风电体量小，同时运营成本低、电价恒定、收益长期持续稳定、投资风险较低，适合村集体经济参与。2021年，凤凰岭风电项目年利小时数2654小时，发电量3184万千瓦时，全年盈利逾500万元，按股比收益分红方式实现了村集体经济的稳定创收。</w:t>
            </w:r>
          </w:p>
          <w:p>
            <w:pPr>
              <w:spacing w:line="520" w:lineRule="exact"/>
              <w:ind w:firstLine="560"/>
              <w:rPr>
                <w:sz w:val="28"/>
              </w:rPr>
            </w:pPr>
            <w:r>
              <w:rPr>
                <w:sz w:val="28"/>
              </w:rPr>
              <w:t>项目建设于乡野田间，距离村庄350米，采用6台塔筒高度120米2兆瓦风电机组，单个风机吊装调试正常运行后占地面积仅为20-40 平方米，单个箱变占地约8平方米。项目施工时在原有道路的基础上征地修路，工程结束后还给村民复耕，整个风电场不但对当地生态未产生影响，还与村镇、燕山水库完美结合成一道亮丽的风景线，为振兴乡村经济、改善民生注入了新动能。</w:t>
            </w:r>
          </w:p>
        </w:tc>
      </w:tr>
    </w:tbl>
    <w:p/>
    <w:p>
      <w:pPr>
        <w:rPr>
          <w:rFonts w:eastAsia="方正楷体_GBK"/>
        </w:rPr>
      </w:pPr>
      <w:r>
        <w:rPr>
          <w:rFonts w:eastAsia="方正楷体_GBK"/>
        </w:rPr>
        <w:t>主要政策点3：鼓励金融机构为农民投资新能源项目提供创新产品和服务。</w:t>
      </w:r>
    </w:p>
    <w:p>
      <w:r>
        <w:t>金融机构为农村新能源项目提供创新产品和服务，不仅是支持推进碳达峰、碳中和的需要，也是金融机构自身绿色转型的需要。一方面，农村绿色能源产业发展是金融机构助力推进碳达峰、碳中和的重要切入点，特别是支持乡村振兴重点帮扶县，为风电、光伏等新能源的规划和优先发展提供资金支持，为脱贫县打造支柱产业，在帮扶中实现农村绿色发展。另一方面，支持农村新能源产业发展，也可助力金融机构自身实现绿色转型，为金融机构特别是农村金融机构绿色转型提供了信贷投放载体。</w:t>
      </w:r>
    </w:p>
    <w:p>
      <w:r>
        <w:t>在传统金融模式下，农村地区特别是贫困地区资金外流明显，导致农村资本结构性短缺，存在融资难、融资贵等问题，一定程度上阻碍了农村地区经济、新能源的发展，不利于乡村振兴战略的全面实施。在乡村振兴与农村地区能源转型过程中必然会出现新的金融需求，为满足这些新需求，农村金融创新在科技结算方式、普及程度、融资服务模式等方面都呈现出全新的特点，需要金融机构通过产品与服务等方面实现创新。</w:t>
      </w:r>
    </w:p>
    <w:p>
      <w:r>
        <w:t>《实施方案》提出为农村新能源项目提供创新金融产品和服务。一方面依托财政的力量，财政与有关部门需要研究制定支持新能源产业发展的相关政策，大力发展绿色金融，督促引导银行保险机构创新金融产品和服务，实现财政与金融的协同发力。另一方面政策要为社会资本支持农村新能源产业发展创造更好的金融环境，支持具备资源条件的地区，特别是乡村振兴重点帮扶县，以县域为单元，引入与社会资本相匹配的金融产品和服务，如在</w:t>
      </w:r>
      <w:r>
        <w:rPr>
          <w:rFonts w:hint="eastAsia" w:ascii="方正仿宋_GBK" w:hAnsi="方正仿宋_GBK"/>
        </w:rPr>
        <w:t>“</w:t>
      </w:r>
      <w:r>
        <w:t>公司+村镇+农户</w:t>
      </w:r>
      <w:r>
        <w:rPr>
          <w:rFonts w:hint="eastAsia" w:ascii="方正仿宋_GBK" w:hAnsi="方正仿宋_GBK"/>
        </w:rPr>
        <w:t>”</w:t>
      </w:r>
      <w:r>
        <w:t>的投入模式中，以</w:t>
      </w:r>
      <w:r>
        <w:rPr>
          <w:rFonts w:hint="eastAsia" w:ascii="方正仿宋_GBK" w:hAnsi="方正仿宋_GBK"/>
        </w:rPr>
        <w:t>“</w:t>
      </w:r>
      <w:r>
        <w:t>公司</w:t>
      </w:r>
      <w:r>
        <w:rPr>
          <w:rFonts w:hint="eastAsia" w:ascii="方正仿宋_GBK" w:hAnsi="方正仿宋_GBK"/>
        </w:rPr>
        <w:t>”</w:t>
      </w:r>
      <w:r>
        <w:t>为支点，通过绿色信贷，撬动乡镇新能源产业发展，带动更多农户就业增收。</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rPr>
                <w:sz w:val="30"/>
                <w:szCs w:val="30"/>
              </w:rPr>
            </w:pPr>
            <w:r>
              <w:rPr>
                <w:sz w:val="30"/>
                <w:szCs w:val="30"/>
              </w:rPr>
              <w:t>案例1-</w:t>
            </w:r>
            <w:r>
              <w:rPr>
                <w:rFonts w:hint="eastAsia"/>
                <w:sz w:val="30"/>
                <w:szCs w:val="30"/>
              </w:rPr>
              <w:t xml:space="preserve">5  </w:t>
            </w:r>
            <w:r>
              <w:rPr>
                <w:sz w:val="30"/>
                <w:szCs w:val="30"/>
              </w:rPr>
              <w:t>光伏扶贫助力农村光伏发展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rPr>
                <w:sz w:val="28"/>
              </w:rPr>
            </w:pPr>
            <w:r>
              <w:rPr>
                <w:sz w:val="28"/>
              </w:rPr>
              <w:t>2015年至2019年，国家能源局开展光伏扶贫行动，累计建成光伏扶贫电站规模2636万千瓦，惠及415万户，每年可产生发电收益约180亿元，实现农村地区清洁能源开发与贫困人群生活改善的双赢。村级光伏扶贫电站由各地根据财力水平筹措资金建设，包括各级财政资金以及东西协作、定点帮扶和社会捐赠资金。村级光伏扶贫电站的发电收益，可用于开展公益岗位扶贫、小型公益事业扶贫、奖励补助扶贫等，还可根据实际情况用于发展村集体经济。</w:t>
            </w:r>
          </w:p>
          <w:p>
            <w:pPr>
              <w:spacing w:line="520" w:lineRule="exact"/>
              <w:ind w:firstLine="560"/>
              <w:rPr>
                <w:sz w:val="28"/>
              </w:rPr>
            </w:pPr>
            <w:r>
              <w:rPr>
                <w:rFonts w:hint="eastAsia"/>
                <w:sz w:val="28"/>
              </w:rPr>
              <w:t>例如，</w:t>
            </w:r>
            <w:r>
              <w:rPr>
                <w:sz w:val="28"/>
              </w:rPr>
              <w:t>在吉林省白城市洮北区，光伏产业是该区近年来巩固拓展脱贫攻坚成果同乡村振兴有效衔接的重要举措。</w:t>
            </w:r>
          </w:p>
          <w:p>
            <w:pPr>
              <w:spacing w:line="520" w:lineRule="exact"/>
              <w:ind w:firstLine="560"/>
              <w:rPr>
                <w:rFonts w:eastAsia="仿宋_GB2312"/>
                <w:color w:val="000000"/>
              </w:rPr>
            </w:pPr>
            <w:r>
              <w:rPr>
                <w:sz w:val="28"/>
              </w:rPr>
              <w:t>洮北区村级扶贫电站项目，总装机容量26.5兆瓦，总投资19361.7万元，由区政府出资组建国有独资企业，即白城市洮北区阳光利民新能源有限公司组织建设项目。</w:t>
            </w:r>
            <w:r>
              <w:rPr>
                <w:rFonts w:hint="eastAsia"/>
                <w:sz w:val="28"/>
              </w:rPr>
              <w:t>项目</w:t>
            </w:r>
            <w:r>
              <w:rPr>
                <w:sz w:val="28"/>
              </w:rPr>
              <w:t>于2017年6月30日全部并网发电运营</w:t>
            </w:r>
            <w:r>
              <w:rPr>
                <w:rFonts w:hint="eastAsia"/>
                <w:sz w:val="28"/>
              </w:rPr>
              <w:t>，</w:t>
            </w:r>
            <w:r>
              <w:rPr>
                <w:sz w:val="28"/>
              </w:rPr>
              <w:t>可持续运营20年。截</w:t>
            </w:r>
            <w:r>
              <w:rPr>
                <w:rFonts w:hint="eastAsia"/>
                <w:sz w:val="28"/>
              </w:rPr>
              <w:t>至</w:t>
            </w:r>
            <w:r>
              <w:rPr>
                <w:sz w:val="28"/>
              </w:rPr>
              <w:t>2021年12月，电站累计发电16611万千瓦时，售电收入14618万元。扣除经营成本、税金及相关费用，拨付扶贫资金9953.87万元至区扶贫专户</w:t>
            </w:r>
            <w:r>
              <w:rPr>
                <w:rFonts w:hint="eastAsia"/>
                <w:sz w:val="28"/>
              </w:rPr>
              <w:t>，</w:t>
            </w:r>
            <w:r>
              <w:rPr>
                <w:sz w:val="28"/>
              </w:rPr>
              <w:t>用于发展贫困村集体经济、贫困户分红和公益性岗位工资。光伏扶贫项目收益稳定，受益范围广，受益时间长，为全区乡村振兴打下了坚实基础。</w:t>
            </w:r>
          </w:p>
        </w:tc>
      </w:tr>
    </w:tbl>
    <w:p/>
    <w:p>
      <w:pPr>
        <w:pStyle w:val="3"/>
        <w:rPr>
          <w:rFonts w:ascii="Times New Roman"/>
        </w:rPr>
      </w:pPr>
      <w:bookmarkStart w:id="7" w:name="_Toc128756525"/>
      <w:r>
        <w:rPr>
          <w:rFonts w:ascii="Times New Roman"/>
        </w:rPr>
        <w:t>（三）推动新能源在工业和建筑领域应用</w:t>
      </w:r>
      <w:bookmarkEnd w:id="7"/>
    </w:p>
    <w:p>
      <w:pPr>
        <w:rPr>
          <w:rFonts w:eastAsia="方正楷体_GBK"/>
        </w:rPr>
      </w:pPr>
      <w:r>
        <w:rPr>
          <w:rFonts w:eastAsia="方正楷体_GBK"/>
        </w:rPr>
        <w:t>主要政策点1：在具备条件的工业企业、工业园区，加快发展分布式光伏、分散式风电等新能源项目，支持工业绿色微电网和源网荷储一体化项目建设，推进多能互补高效利用，开展新能源电力直供电试点，提高终端用能的新能源电力比重。</w:t>
      </w:r>
    </w:p>
    <w:p>
      <w:r>
        <w:t>工业园区是工业领域绿色转型与节能降碳的主战场，</w:t>
      </w:r>
      <w:r>
        <w:rPr>
          <w:rFonts w:hint="eastAsia"/>
        </w:rPr>
        <w:t>是</w:t>
      </w:r>
      <w:r>
        <w:t>我国能源消耗与碳排放的重要领域，加快</w:t>
      </w:r>
      <w:r>
        <w:rPr>
          <w:rFonts w:hint="eastAsia" w:ascii="方正仿宋_GBK" w:hAnsi="方正仿宋_GBK"/>
        </w:rPr>
        <w:t>“</w:t>
      </w:r>
      <w:r>
        <w:t>支持工业园区绿色微电网和源网荷储一体化建设，推动多能互补高效利用</w:t>
      </w:r>
      <w:r>
        <w:rPr>
          <w:rFonts w:hint="eastAsia" w:ascii="方正仿宋_GBK" w:hAnsi="方正仿宋_GBK"/>
        </w:rPr>
        <w:t>”</w:t>
      </w:r>
      <w:r>
        <w:t>是工业园区节能、减耗、提质、减碳</w:t>
      </w:r>
      <w:r>
        <w:rPr>
          <w:rFonts w:hint="eastAsia"/>
        </w:rPr>
        <w:t>的重要途径和措施</w:t>
      </w:r>
      <w:r>
        <w:t>，</w:t>
      </w:r>
      <w:r>
        <w:rPr>
          <w:rFonts w:hint="eastAsia"/>
        </w:rPr>
        <w:t>对于</w:t>
      </w:r>
      <w:r>
        <w:t>工业</w:t>
      </w:r>
      <w:r>
        <w:rPr>
          <w:rFonts w:hint="eastAsia"/>
        </w:rPr>
        <w:t>领域</w:t>
      </w:r>
      <w:r>
        <w:t>实现碳达峰、碳中和目标意义重大。</w:t>
      </w:r>
    </w:p>
    <w:p>
      <w:r>
        <w:rPr>
          <w:rFonts w:hint="eastAsia" w:ascii="方正仿宋_GBK" w:hAnsi="方正仿宋_GBK"/>
        </w:rPr>
        <w:t>“</w:t>
      </w:r>
      <w:r>
        <w:t>在具备条件的工业企业、工业园区，加快发展分布式光伏、分散式风电等新能源项目</w:t>
      </w:r>
      <w:r>
        <w:rPr>
          <w:rFonts w:hint="eastAsia" w:ascii="方正仿宋_GBK" w:hAnsi="方正仿宋_GBK"/>
        </w:rPr>
        <w:t>”</w:t>
      </w:r>
      <w:r>
        <w:t>，通过充分发挥园区厂房屋面资源和土地资源聚集化的关键优势建设新能源项目，推动工业厂房建筑与太阳能深度融合发展，可实现绿色低碳能源直供园区企业使用，推动工业园区绿色能源多能高效互补，提高区域绿色能源综合利用。同时在工业园区开展新能源电力直供，企业优先使用园区光伏、风电电量，可减少用电成本</w:t>
      </w:r>
      <w:r>
        <w:rPr>
          <w:rFonts w:hint="eastAsia"/>
        </w:rPr>
        <w:t>，促进分布式新能源就近、就地消纳</w:t>
      </w:r>
      <w:r>
        <w:t>。此外，采取</w:t>
      </w:r>
      <w:r>
        <w:rPr>
          <w:rFonts w:hint="eastAsia" w:ascii="方正仿宋_GBK" w:hAnsi="方正仿宋_GBK"/>
        </w:rPr>
        <w:t>“</w:t>
      </w:r>
      <w:r>
        <w:t>自发自用，余电上网</w:t>
      </w:r>
      <w:r>
        <w:rPr>
          <w:rFonts w:hint="eastAsia" w:ascii="方正仿宋_GBK" w:hAnsi="方正仿宋_GBK"/>
        </w:rPr>
        <w:t>”</w:t>
      </w:r>
      <w:r>
        <w:t>或</w:t>
      </w:r>
      <w:r>
        <w:rPr>
          <w:rFonts w:hint="eastAsia" w:ascii="方正仿宋_GBK" w:hAnsi="方正仿宋_GBK"/>
        </w:rPr>
        <w:t>“</w:t>
      </w:r>
      <w:r>
        <w:t>绿电交易</w:t>
      </w:r>
      <w:r>
        <w:rPr>
          <w:rFonts w:hint="eastAsia" w:ascii="方正仿宋_GBK" w:hAnsi="方正仿宋_GBK"/>
        </w:rPr>
        <w:t>”</w:t>
      </w:r>
      <w:r>
        <w:t>模式，将剩余电量进行市场化交易还可获得一定收益。</w:t>
      </w:r>
    </w:p>
    <w:p>
      <w:pPr>
        <w:rPr>
          <w:rFonts w:eastAsia="楷体"/>
        </w:rPr>
      </w:pPr>
      <w:r>
        <w:t>2021年3月，国家发展改革委、国家能源局发布《关于推进电力源网荷储一体化和多能互补发展的指导意见》（发改能源规〔2021〕280号），指出源网荷储一体化和多能互补是实现电力系统高质量发展、促进能源行业转型和社会经济发展的重要举措，旨在</w:t>
      </w:r>
      <w:r>
        <w:rPr>
          <w:rFonts w:hint="eastAsia" w:ascii="方正仿宋_GBK" w:hAnsi="方正仿宋_GBK"/>
        </w:rPr>
        <w:t>“</w:t>
      </w:r>
      <w:r>
        <w:t>积极构建清洁低碳安全高效的新型电力系统，促进能源行业转型升级</w:t>
      </w:r>
      <w:r>
        <w:rPr>
          <w:rFonts w:hint="eastAsia" w:ascii="方正仿宋_GBK" w:hAnsi="方正仿宋_GBK"/>
        </w:rPr>
        <w:t>”</w:t>
      </w:r>
      <w:r>
        <w:t>。2021年10月，国务院印发《2030年前碳达峰行动方案》，明确提出</w:t>
      </w:r>
      <w:r>
        <w:rPr>
          <w:rFonts w:hint="eastAsia" w:ascii="方正仿宋_GBK" w:hAnsi="方正仿宋_GBK"/>
        </w:rPr>
        <w:t>“积极发展‘新能源+储能’</w:t>
      </w:r>
      <w:r>
        <w:rPr>
          <w:rFonts w:hint="eastAsia"/>
        </w:rPr>
        <w:t>、源网荷储一体化和多能互补，支持分布式新能源合理配置储能系统”</w:t>
      </w:r>
      <w:r>
        <w:t>。</w:t>
      </w:r>
    </w:p>
    <w:p>
      <w:r>
        <w:t>2021年6月，国家能源局、农业农村部、国家乡村振兴局</w:t>
      </w:r>
      <w:r>
        <w:rPr>
          <w:rFonts w:hint="eastAsia"/>
        </w:rPr>
        <w:t>联合</w:t>
      </w:r>
      <w:r>
        <w:t>印发</w:t>
      </w:r>
      <w:r>
        <w:rPr>
          <w:rFonts w:hint="eastAsia"/>
        </w:rPr>
        <w:t>的</w:t>
      </w:r>
      <w:r>
        <w:t>《加快农村能源转型发展助力乡村振兴的实施意见》（国能发规划〔2021〕66号）提出，</w:t>
      </w:r>
      <w:r>
        <w:rPr>
          <w:rFonts w:hint="eastAsia" w:ascii="方正仿宋_GBK" w:hAnsi="方正仿宋_GBK"/>
        </w:rPr>
        <w:t>“</w:t>
      </w:r>
      <w:r>
        <w:t>创新发展新能源直供电、隔墙售电等模式</w:t>
      </w:r>
      <w:r>
        <w:rPr>
          <w:rFonts w:hint="eastAsia" w:ascii="方正仿宋_GBK" w:hAnsi="方正仿宋_GBK"/>
        </w:rPr>
        <w:t>”</w:t>
      </w:r>
      <w:r>
        <w:t>。《</w:t>
      </w:r>
      <w:r>
        <w:rPr>
          <w:rFonts w:hint="eastAsia" w:ascii="方正仿宋_GBK" w:hAnsi="方正仿宋_GBK"/>
        </w:rPr>
        <w:t>“</w:t>
      </w:r>
      <w:r>
        <w:t>十四五</w:t>
      </w:r>
      <w:r>
        <w:rPr>
          <w:rFonts w:hint="eastAsia" w:ascii="方正仿宋_GBK" w:hAnsi="方正仿宋_GBK"/>
        </w:rPr>
        <w:t>”</w:t>
      </w:r>
      <w:r>
        <w:t>可再生能源发展规划》中也提出，</w:t>
      </w:r>
      <w:r>
        <w:rPr>
          <w:rFonts w:hint="eastAsia" w:ascii="方正仿宋_GBK" w:hAnsi="方正仿宋_GBK"/>
        </w:rPr>
        <w:t>“</w:t>
      </w:r>
      <w:r>
        <w:t>因地制宜开展新能源电力专线供电</w:t>
      </w:r>
      <w:r>
        <w:rPr>
          <w:rFonts w:hint="eastAsia" w:ascii="方正仿宋_GBK" w:hAnsi="方正仿宋_GBK"/>
        </w:rPr>
        <w:t>”</w:t>
      </w:r>
      <w:r>
        <w:t>。《实施方案》中</w:t>
      </w:r>
      <w:r>
        <w:rPr>
          <w:rFonts w:hint="eastAsia"/>
        </w:rPr>
        <w:t>进一步</w:t>
      </w:r>
      <w:r>
        <w:t>明确</w:t>
      </w:r>
      <w:r>
        <w:rPr>
          <w:rFonts w:hint="eastAsia" w:ascii="方正仿宋_GBK" w:hAnsi="方正仿宋_GBK"/>
        </w:rPr>
        <w:t>“</w:t>
      </w:r>
      <w:r>
        <w:t>开展新能源电力直供电试点</w:t>
      </w:r>
      <w:r>
        <w:rPr>
          <w:rFonts w:hint="eastAsia" w:ascii="方正仿宋_GBK" w:hAnsi="方正仿宋_GBK"/>
        </w:rPr>
        <w:t>”</w:t>
      </w:r>
      <w:r>
        <w:t>，即在具备条件地区，</w:t>
      </w:r>
      <w:r>
        <w:rPr>
          <w:rFonts w:hint="eastAsia"/>
        </w:rPr>
        <w:t>在符合规划的前提下，</w:t>
      </w:r>
      <w:r>
        <w:t>开展</w:t>
      </w:r>
      <w:r>
        <w:rPr>
          <w:rFonts w:hint="eastAsia"/>
        </w:rPr>
        <w:t>由</w:t>
      </w:r>
      <w:r>
        <w:t>新能源发电企业直接向电力用户供电的试点工作，完善相关机制与保障措施，</w:t>
      </w:r>
      <w:r>
        <w:rPr>
          <w:rFonts w:hint="eastAsia"/>
        </w:rPr>
        <w:t>建设一批</w:t>
      </w:r>
      <w:r>
        <w:t>绿色直供电示范工厂与示范园区，加快提高终端用能中新能源比重。</w:t>
      </w:r>
    </w:p>
    <w:p/>
    <w:tbl>
      <w:tblPr>
        <w:tblStyle w:val="11"/>
        <w:tblpPr w:leftFromText="180" w:rightFromText="180" w:vertAnchor="text" w:horzAnchor="margin" w:tblpXSpec="center" w:tblpY="17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8"/>
              <w:ind w:firstLine="0" w:firstLineChars="0"/>
              <w:rPr>
                <w:sz w:val="30"/>
                <w:szCs w:val="30"/>
              </w:rPr>
            </w:pPr>
            <w:r>
              <w:rPr>
                <w:sz w:val="30"/>
                <w:szCs w:val="30"/>
              </w:rPr>
              <w:t>案例1-</w:t>
            </w:r>
            <w:r>
              <w:rPr>
                <w:rFonts w:hint="eastAsia"/>
                <w:sz w:val="30"/>
                <w:szCs w:val="30"/>
              </w:rPr>
              <w:t xml:space="preserve">6  </w:t>
            </w:r>
            <w:r>
              <w:rPr>
                <w:sz w:val="30"/>
                <w:szCs w:val="30"/>
              </w:rPr>
              <w:t>海宁风光氢储充+燃气三联供微电网项目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rPr>
                <w:color w:val="191919"/>
                <w:sz w:val="28"/>
                <w:shd w:val="clear" w:color="auto" w:fill="FFFFFF"/>
              </w:rPr>
            </w:pPr>
            <w:r>
              <w:rPr>
                <w:color w:val="191919"/>
                <w:sz w:val="28"/>
                <w:shd w:val="clear" w:color="auto" w:fill="FFFFFF"/>
              </w:rPr>
              <w:t>海宁正泰工业园区智能光伏、储能、充电系统一体化微电网项目于2019年建成。结合园区实际用能需求，在工厂厂房建设5.9兆瓦分布式光伏发电系统，在园区6号厂房南侧建设交直流耦合微电网系统。微电网集成了光伏BIPV小屋8.83千瓦、光伏BIPV停车棚50千瓦、光伏路及光伏连廊4.5千瓦、光伏实验区35千瓦，再加上垂直轴风机5千瓦、PEM制氢系统、碱性制氢系统、燃料电池系统10千瓦，构建多模式电解水制氢混合系统，建成氢能产-供-销一体化示范工程项目，通过智能、高效、稳定的电力电子变换设备接入微电网中；对2台4.2兆瓦制冷量冷水机组循环水余热回收改造利用，配置了2兆瓦燃气内燃机组和烟气热水型溴化锂机组，在发电的同时通过回收高温余热可产生2150千瓦时制冷量或2035千瓦时制热量，</w:t>
            </w:r>
            <w:r>
              <w:rPr>
                <w:rFonts w:hint="eastAsia"/>
                <w:color w:val="191919"/>
                <w:sz w:val="28"/>
                <w:shd w:val="clear" w:color="auto" w:fill="FFFFFF"/>
              </w:rPr>
              <w:t>同时</w:t>
            </w:r>
            <w:r>
              <w:rPr>
                <w:color w:val="191919"/>
                <w:sz w:val="28"/>
                <w:shd w:val="clear" w:color="auto" w:fill="FFFFFF"/>
              </w:rPr>
              <w:t>热水供园区生产使用，形成冷热电联供，系统整体利用效率达到86.8%；配置50 千瓦/100 千瓦时的电储能系统，实现网内新能源发电波动平滑、系统移峰填谷运行、不间断电压支撑等功能，保障系统的供电可靠性；对外以整体形式与大电网之间进行电力电量交易，可实现大电网与微电网之间的互动运行。</w:t>
            </w:r>
          </w:p>
        </w:tc>
      </w:tr>
    </w:tbl>
    <w:p/>
    <w:p>
      <w:pPr>
        <w:rPr>
          <w:rFonts w:eastAsia="方正楷体_GBK"/>
        </w:rPr>
      </w:pPr>
      <w:r>
        <w:rPr>
          <w:rFonts w:eastAsia="方正楷体_GBK"/>
        </w:rPr>
        <w:t>主要政策点2：推动太阳能与建筑深度融合发展。完善光伏建筑一体化应用技术体系，壮大光伏电力生产型消费者群体。到2025年，公共机构新建建筑屋顶光伏覆盖率力争达到50%；鼓励公共机构既有建筑等安装光伏或太阳能热利用设施。</w:t>
      </w:r>
    </w:p>
    <w:p>
      <w:r>
        <w:t>太阳能发电与建筑结合可分为光伏发电附着于建筑物（BAPV）和光伏发电与建筑集成（BIPV）以及太阳能热利用设施。目前应用规模最大的主要是BAPV，即将光伏板铺设</w:t>
      </w:r>
      <w:r>
        <w:rPr>
          <w:rFonts w:hint="eastAsia"/>
        </w:rPr>
        <w:t>于</w:t>
      </w:r>
      <w:r>
        <w:t>建筑屋顶之上，为分布式光伏的主要开发形式。而BIPV则由发电光伏板与建筑结合，达到光伏建筑一体化集成，除了屋顶光伏外，还可以用作光伏幕墙、光伏遮阳、光伏温室等应用场景，其中的光伏板不仅提供发电功能，同时作为建筑结构的一部分，取代部分传统建筑结构如屋顶板、瓦、窗户、建筑立面、遮雨棚等。BIPV作为建筑光伏的新方案，在安全性、观赏性、便捷性和经济性等方面都具备一定的优势</w:t>
      </w:r>
      <w:r>
        <w:rPr>
          <w:rFonts w:hint="eastAsia"/>
        </w:rPr>
        <w:t>，</w:t>
      </w:r>
      <w:r>
        <w:t>是未来的重要发展方向。2020年，我国BIPV新增装机容量70.9万千瓦，安装面积为377.4万平米，占当年国内分布式光伏新增装机量的4.5%。</w:t>
      </w:r>
    </w:p>
    <w:p>
      <w:pPr>
        <w:rPr>
          <w:rFonts w:eastAsia="楷体"/>
        </w:rPr>
      </w:pPr>
      <w:r>
        <w:t>2020年我国新增建筑面积约为31.5亿平方米，累计建筑面积超400亿平方米，BAPV、BIPV等太阳能与建筑结合应用的市场潜力巨大。但BIPV发展还面临诸多挑战。一是产品性能要求高，BIPV是建筑和光伏深度融合的产物，以建筑材料的属性为主，光伏发电性能为辅，对BIPV光伏组件的性能有更高的要求，不仅要求具备较长使用寿命，还要具备建材的防水性、安全性、牢固性和美观性等方面的要求。二是行业标准尚未形成，目前BIPV主要标准集中在建筑领域，缺乏针对光伏发电的标准规范，同时标准制定大多依靠行业内的讨论和地方政策的规划指导，尚未形成全国性的BIPV统一标准体系。三是</w:t>
      </w:r>
      <w:r>
        <w:rPr>
          <w:kern w:val="0"/>
        </w:rPr>
        <w:t>产品特异性较高，产品制造商需参与建筑设计、施工等多个环节，推高了投资和发电成本，同时商业运行模式欠成熟，发电与节能环保效益难以直接转化为投资者收益，大规模推广难度大。《实施方案</w:t>
      </w:r>
      <w:r>
        <w:t>》对BIPV等太阳能与建筑相结合的应用给出了发展方向，对其进一步快速发展将起到促进作用。</w:t>
      </w:r>
    </w:p>
    <w:p>
      <w:r>
        <w:t>目前国内广东、江苏、西安、北京</w:t>
      </w:r>
      <w:r>
        <w:rPr>
          <w:rFonts w:hint="eastAsia"/>
        </w:rPr>
        <w:t>、上海</w:t>
      </w:r>
      <w:r>
        <w:t>等</w:t>
      </w:r>
      <w:r>
        <w:rPr>
          <w:rFonts w:hint="eastAsia"/>
        </w:rPr>
        <w:t>多</w:t>
      </w:r>
      <w:r>
        <w:t>个省（市、自治区）已经明确发布了光伏建筑一体化相关补贴政策，补贴力度在0.3-0.4元/千瓦时左右，单个项目总补助限额在100-300万元，光伏制造业头部企业纷纷加大光伏建筑一体化产品开发投入，助推建筑用能绿色发展。2022年7月，住建部、国家发展改革委印发《城乡建设领域碳达峰实施方案》（建标〔2022〕53号），提出优化城市建设用能结构，推进建筑太阳能光伏一体化建设，到2025年新建公共机构建筑、新建厂房屋顶光伏覆盖率力争达到50%。推动既有公共建筑屋顶加装太阳能光伏系统。</w:t>
      </w:r>
    </w:p>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8"/>
              <w:ind w:firstLine="0" w:firstLineChars="0"/>
              <w:rPr>
                <w:sz w:val="30"/>
                <w:szCs w:val="30"/>
              </w:rPr>
            </w:pPr>
            <w:r>
              <w:rPr>
                <w:sz w:val="30"/>
                <w:szCs w:val="30"/>
              </w:rPr>
              <w:t>案例1-</w:t>
            </w:r>
            <w:r>
              <w:rPr>
                <w:rFonts w:hint="eastAsia"/>
                <w:sz w:val="30"/>
                <w:szCs w:val="30"/>
              </w:rPr>
              <w:t xml:space="preserve">7  </w:t>
            </w:r>
            <w:r>
              <w:rPr>
                <w:sz w:val="30"/>
                <w:szCs w:val="30"/>
              </w:rPr>
              <w:t>新能源与建筑相结合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rPr>
            </w:pPr>
            <w:r>
              <w:rPr>
                <w:color w:val="000000"/>
                <w:sz w:val="28"/>
              </w:rPr>
              <w:t>2014年武汉新能源研究院大楼建成，该建筑占地面积165亩、建筑面积6.8万平方米，合理利用水、风、太阳能等自然资源，以马蹄莲为设计理念，寓意</w:t>
            </w:r>
            <w:r>
              <w:rPr>
                <w:rFonts w:hint="eastAsia" w:ascii="方正仿宋_GBK" w:hAnsi="方正仿宋_GBK"/>
                <w:color w:val="000000"/>
                <w:sz w:val="28"/>
              </w:rPr>
              <w:t>“</w:t>
            </w:r>
            <w:r>
              <w:rPr>
                <w:color w:val="000000"/>
                <w:sz w:val="28"/>
              </w:rPr>
              <w:t>武汉新能源之花</w:t>
            </w:r>
            <w:r>
              <w:rPr>
                <w:rFonts w:hint="eastAsia" w:ascii="方正仿宋_GBK" w:hAnsi="方正仿宋_GBK"/>
                <w:color w:val="000000"/>
                <w:sz w:val="28"/>
              </w:rPr>
              <w:t>”</w:t>
            </w:r>
            <w:r>
              <w:rPr>
                <w:color w:val="000000"/>
                <w:sz w:val="28"/>
              </w:rPr>
              <w:t>。整个建筑包括马蹄莲形主塔楼、5个树叶形实验室和一个花蕾形展示中心，顶部</w:t>
            </w:r>
            <w:r>
              <w:rPr>
                <w:rFonts w:hint="eastAsia" w:ascii="方正仿宋_GBK" w:hAnsi="方正仿宋_GBK"/>
                <w:color w:val="000000"/>
                <w:sz w:val="28"/>
              </w:rPr>
              <w:t>“</w:t>
            </w:r>
            <w:r>
              <w:rPr>
                <w:color w:val="000000"/>
                <w:sz w:val="28"/>
              </w:rPr>
              <w:t>花盘</w:t>
            </w:r>
            <w:r>
              <w:rPr>
                <w:rFonts w:hint="eastAsia" w:ascii="方正仿宋_GBK" w:hAnsi="方正仿宋_GBK"/>
                <w:color w:val="000000"/>
                <w:sz w:val="28"/>
              </w:rPr>
              <w:t>”</w:t>
            </w:r>
            <w:r>
              <w:rPr>
                <w:color w:val="000000"/>
                <w:sz w:val="28"/>
              </w:rPr>
              <w:t>上安装有风光互补与建筑一体化系统，由320千瓦光伏发电和8千瓦风电组成，每年发电量约48万千瓦时，占整栋大楼自身用电量的14%。</w:t>
            </w:r>
          </w:p>
          <w:p>
            <w:pPr>
              <w:spacing w:line="240" w:lineRule="auto"/>
              <w:ind w:firstLine="0" w:firstLineChars="0"/>
              <w:textAlignment w:val="auto"/>
              <w:rPr>
                <w:rFonts w:eastAsia="仿宋_GB2312"/>
                <w:color w:val="000000"/>
              </w:rPr>
            </w:pPr>
            <w:r>
              <w:drawing>
                <wp:inline distT="0" distB="0" distL="0" distR="0">
                  <wp:extent cx="5048250" cy="3562350"/>
                  <wp:effectExtent l="19050" t="0" r="0" b="0"/>
                  <wp:docPr id="1" name="图片 5" descr="查看源图像"/>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descr="查看源图像"/>
                          <pic:cNvPicPr>
                            <a:picLocks noChangeAspect="true" noChangeArrowheads="true"/>
                          </pic:cNvPicPr>
                        </pic:nvPicPr>
                        <pic:blipFill>
                          <a:blip r:embed="rId16"/>
                          <a:srcRect/>
                          <a:stretch>
                            <a:fillRect/>
                          </a:stretch>
                        </pic:blipFill>
                        <pic:spPr>
                          <a:xfrm>
                            <a:off x="0" y="0"/>
                            <a:ext cx="5048250" cy="3562350"/>
                          </a:xfrm>
                          <a:prstGeom prst="rect">
                            <a:avLst/>
                          </a:prstGeom>
                          <a:noFill/>
                          <a:ln w="9525">
                            <a:noFill/>
                            <a:miter lim="800000"/>
                            <a:headEnd/>
                            <a:tailEnd/>
                          </a:ln>
                        </pic:spPr>
                      </pic:pic>
                    </a:graphicData>
                  </a:graphic>
                </wp:inline>
              </w:drawing>
            </w:r>
          </w:p>
          <w:p>
            <w:pPr>
              <w:spacing w:line="520" w:lineRule="exact"/>
              <w:ind w:firstLine="560"/>
              <w:textAlignment w:val="auto"/>
              <w:rPr>
                <w:color w:val="000000"/>
                <w:sz w:val="28"/>
              </w:rPr>
            </w:pPr>
            <w:r>
              <w:rPr>
                <w:rFonts w:hint="eastAsia"/>
                <w:color w:val="000000"/>
                <w:sz w:val="28"/>
              </w:rPr>
              <w:t>多个光伏与交通建筑结合项目建成投运。</w:t>
            </w:r>
            <w:r>
              <w:rPr>
                <w:color w:val="000000"/>
                <w:sz w:val="28"/>
              </w:rPr>
              <w:t>2019</w:t>
            </w:r>
            <w:r>
              <w:rPr>
                <w:rFonts w:hint="eastAsia"/>
                <w:color w:val="000000"/>
                <w:sz w:val="28"/>
              </w:rPr>
              <w:t>年</w:t>
            </w:r>
            <w:r>
              <w:rPr>
                <w:color w:val="000000"/>
                <w:sz w:val="28"/>
              </w:rPr>
              <w:t>9</w:t>
            </w:r>
            <w:r>
              <w:rPr>
                <w:rFonts w:hint="eastAsia"/>
                <w:color w:val="000000"/>
                <w:sz w:val="28"/>
              </w:rPr>
              <w:t>月，北京大兴国际机场屋顶分布式光伏发电项目顺利并网发电。这是全球距离跑道最近、国内首个飞行区跑道旁铺设的光伏系统，项目总容量</w:t>
            </w:r>
            <w:r>
              <w:rPr>
                <w:color w:val="000000"/>
                <w:sz w:val="28"/>
              </w:rPr>
              <w:t>4.1</w:t>
            </w:r>
            <w:r>
              <w:rPr>
                <w:rFonts w:hint="eastAsia"/>
                <w:color w:val="000000"/>
                <w:sz w:val="28"/>
              </w:rPr>
              <w:t>兆瓦，包括机场货运区</w:t>
            </w:r>
            <w:r>
              <w:rPr>
                <w:color w:val="000000"/>
                <w:sz w:val="28"/>
              </w:rPr>
              <w:t xml:space="preserve"> 2.03兆瓦</w:t>
            </w:r>
            <w:r>
              <w:rPr>
                <w:rFonts w:hint="eastAsia"/>
                <w:color w:val="000000"/>
                <w:sz w:val="28"/>
              </w:rPr>
              <w:t>和北一跑道</w:t>
            </w:r>
            <w:r>
              <w:rPr>
                <w:color w:val="000000"/>
                <w:sz w:val="28"/>
              </w:rPr>
              <w:t>2.07兆瓦</w:t>
            </w:r>
            <w:r>
              <w:rPr>
                <w:rFonts w:hint="eastAsia"/>
                <w:color w:val="000000"/>
                <w:sz w:val="28"/>
              </w:rPr>
              <w:t>，安装光伏组件</w:t>
            </w:r>
            <w:r>
              <w:rPr>
                <w:color w:val="000000"/>
                <w:sz w:val="28"/>
              </w:rPr>
              <w:t>1.3</w:t>
            </w:r>
            <w:r>
              <w:rPr>
                <w:rFonts w:hint="eastAsia"/>
                <w:color w:val="000000"/>
                <w:sz w:val="28"/>
              </w:rPr>
              <w:t>万块，逆变器</w:t>
            </w:r>
            <w:r>
              <w:rPr>
                <w:color w:val="000000"/>
                <w:sz w:val="28"/>
              </w:rPr>
              <w:t>57</w:t>
            </w:r>
            <w:r>
              <w:rPr>
                <w:rFonts w:hint="eastAsia"/>
                <w:color w:val="000000"/>
                <w:sz w:val="28"/>
              </w:rPr>
              <w:t>台，电缆及光缆铺设</w:t>
            </w:r>
            <w:r>
              <w:rPr>
                <w:color w:val="000000"/>
                <w:sz w:val="28"/>
              </w:rPr>
              <w:t>43</w:t>
            </w:r>
            <w:r>
              <w:rPr>
                <w:rFonts w:hint="eastAsia"/>
                <w:color w:val="000000"/>
                <w:sz w:val="28"/>
              </w:rPr>
              <w:t>公里，预计每年可提供约</w:t>
            </w:r>
            <w:r>
              <w:rPr>
                <w:color w:val="000000"/>
                <w:sz w:val="28"/>
              </w:rPr>
              <w:t>500</w:t>
            </w:r>
            <w:r>
              <w:rPr>
                <w:rFonts w:hint="eastAsia"/>
                <w:color w:val="000000"/>
                <w:sz w:val="28"/>
              </w:rPr>
              <w:t>万千瓦时的绿色电力。</w:t>
            </w:r>
            <w:r>
              <w:rPr>
                <w:color w:val="000000"/>
                <w:sz w:val="28"/>
              </w:rPr>
              <w:t>2022</w:t>
            </w:r>
            <w:r>
              <w:rPr>
                <w:rFonts w:hint="eastAsia"/>
                <w:color w:val="000000"/>
                <w:sz w:val="28"/>
              </w:rPr>
              <w:t>年</w:t>
            </w:r>
            <w:r>
              <w:rPr>
                <w:color w:val="000000"/>
                <w:sz w:val="28"/>
              </w:rPr>
              <w:t>6</w:t>
            </w:r>
            <w:r>
              <w:rPr>
                <w:rFonts w:hint="eastAsia"/>
                <w:color w:val="000000"/>
                <w:sz w:val="28"/>
              </w:rPr>
              <w:t>月，北京丰台火车站屋顶分布式光伏项目投运，为站内照明、取暖、制冷、通风及冷库等提供绿色电力。光伏组件布置面积约为</w:t>
            </w:r>
            <w:r>
              <w:rPr>
                <w:color w:val="000000"/>
                <w:sz w:val="28"/>
              </w:rPr>
              <w:t xml:space="preserve"> 3.18</w:t>
            </w:r>
            <w:r>
              <w:rPr>
                <w:rFonts w:hint="eastAsia"/>
                <w:color w:val="000000"/>
                <w:sz w:val="28"/>
              </w:rPr>
              <w:t>万平方米，总容量</w:t>
            </w:r>
            <w:r>
              <w:rPr>
                <w:color w:val="000000"/>
                <w:sz w:val="28"/>
              </w:rPr>
              <w:t>5.9</w:t>
            </w:r>
            <w:r>
              <w:rPr>
                <w:rFonts w:hint="eastAsia"/>
                <w:color w:val="000000"/>
                <w:sz w:val="28"/>
              </w:rPr>
              <w:t>兆瓦，预计年提供清洁电量约</w:t>
            </w:r>
            <w:r>
              <w:rPr>
                <w:color w:val="000000"/>
                <w:sz w:val="28"/>
              </w:rPr>
              <w:t>704</w:t>
            </w:r>
            <w:r>
              <w:rPr>
                <w:rFonts w:hint="eastAsia"/>
                <w:color w:val="000000"/>
                <w:sz w:val="28"/>
              </w:rPr>
              <w:t>万千瓦时，占全站用电量的</w:t>
            </w:r>
            <w:r>
              <w:rPr>
                <w:color w:val="000000"/>
                <w:sz w:val="28"/>
              </w:rPr>
              <w:t>15%</w:t>
            </w:r>
            <w:r>
              <w:rPr>
                <w:rFonts w:hint="eastAsia"/>
                <w:color w:val="000000"/>
                <w:sz w:val="28"/>
              </w:rPr>
              <w:t>。通过此类光伏</w:t>
            </w:r>
            <w:r>
              <w:rPr>
                <w:color w:val="000000"/>
                <w:sz w:val="28"/>
              </w:rPr>
              <w:t>+</w:t>
            </w:r>
            <w:r>
              <w:rPr>
                <w:rFonts w:hint="eastAsia"/>
                <w:color w:val="000000"/>
                <w:sz w:val="28"/>
              </w:rPr>
              <w:t>交通建筑的应用，拓展绿色建筑新模式，实现清洁、环保、绿色、美观，公共建筑建设，彰显</w:t>
            </w:r>
            <w:r>
              <w:rPr>
                <w:rFonts w:hint="eastAsia" w:ascii="方正仿宋_GBK" w:hAnsi="方正仿宋_GBK"/>
                <w:color w:val="000000"/>
                <w:sz w:val="28"/>
              </w:rPr>
              <w:t>“</w:t>
            </w:r>
            <w:r>
              <w:rPr>
                <w:rFonts w:hint="eastAsia"/>
                <w:color w:val="000000"/>
                <w:sz w:val="28"/>
              </w:rPr>
              <w:t>绿色交通、绿色北京</w:t>
            </w:r>
            <w:r>
              <w:rPr>
                <w:rFonts w:hint="eastAsia" w:ascii="方正仿宋_GBK" w:hAnsi="方正仿宋_GBK"/>
                <w:color w:val="000000"/>
                <w:sz w:val="28"/>
              </w:rPr>
              <w:t>”</w:t>
            </w:r>
            <w:r>
              <w:rPr>
                <w:rFonts w:hint="eastAsia"/>
                <w:color w:val="000000"/>
                <w:sz w:val="28"/>
              </w:rPr>
              <w:t>理念，为首都绿色发展贡献力量，助力低碳目标实现。</w:t>
            </w:r>
          </w:p>
          <w:p>
            <w:pPr>
              <w:spacing w:line="240" w:lineRule="auto"/>
              <w:ind w:firstLine="0" w:firstLineChars="0"/>
              <w:textAlignment w:val="auto"/>
              <w:rPr>
                <w:rFonts w:eastAsia="仿宋_GB2312"/>
                <w:color w:val="000000"/>
              </w:rPr>
            </w:pPr>
            <w:r>
              <w:drawing>
                <wp:inline distT="0" distB="0" distL="0" distR="0">
                  <wp:extent cx="5400675" cy="3019425"/>
                  <wp:effectExtent l="19050" t="0" r="9525" b="0"/>
                  <wp:docPr id="2" name="图片 13" descr="https://p9.itc.cn/q_70/images03/20220628/f6d4a683cc8948508431ad00ef423108.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3" descr="https://p9.itc.cn/q_70/images03/20220628/f6d4a683cc8948508431ad00ef423108.jpeg"/>
                          <pic:cNvPicPr>
                            <a:picLocks noChangeAspect="true" noChangeArrowheads="true"/>
                          </pic:cNvPicPr>
                        </pic:nvPicPr>
                        <pic:blipFill>
                          <a:blip r:embed="rId17"/>
                          <a:srcRect/>
                          <a:stretch>
                            <a:fillRect/>
                          </a:stretch>
                        </pic:blipFill>
                        <pic:spPr>
                          <a:xfrm>
                            <a:off x="0" y="0"/>
                            <a:ext cx="5400675" cy="3019425"/>
                          </a:xfrm>
                          <a:prstGeom prst="rect">
                            <a:avLst/>
                          </a:prstGeom>
                          <a:noFill/>
                          <a:ln w="9525">
                            <a:noFill/>
                            <a:miter lim="800000"/>
                            <a:headEnd/>
                            <a:tailEnd/>
                          </a:ln>
                        </pic:spPr>
                      </pic:pic>
                    </a:graphicData>
                  </a:graphic>
                </wp:inline>
              </w:drawing>
            </w:r>
          </w:p>
          <w:p>
            <w:pPr>
              <w:spacing w:line="240" w:lineRule="auto"/>
              <w:ind w:firstLine="0" w:firstLineChars="0"/>
              <w:textAlignment w:val="auto"/>
              <w:rPr>
                <w:rFonts w:eastAsia="仿宋_GB2312"/>
                <w:color w:val="000000"/>
              </w:rPr>
            </w:pPr>
            <w:r>
              <w:rPr>
                <w:rFonts w:hint="eastAsia" w:eastAsia="仿宋_GB2312"/>
                <w:color w:val="000000"/>
              </w:rPr>
              <w:t>图1-</w:t>
            </w:r>
            <w:r>
              <w:rPr>
                <w:rFonts w:eastAsia="仿宋_GB2312"/>
                <w:color w:val="000000"/>
              </w:rPr>
              <w:t xml:space="preserve">1 </w:t>
            </w:r>
            <w:r>
              <w:rPr>
                <w:rFonts w:hint="eastAsia" w:eastAsia="仿宋_GB2312"/>
                <w:color w:val="000000"/>
              </w:rPr>
              <w:t>丰台火车站屋顶光伏系统鸟瞰图</w:t>
            </w:r>
          </w:p>
        </w:tc>
      </w:tr>
    </w:tbl>
    <w:p/>
    <w:p>
      <w:pPr>
        <w:pStyle w:val="3"/>
        <w:rPr>
          <w:rFonts w:ascii="Times New Roman"/>
        </w:rPr>
      </w:pPr>
      <w:bookmarkStart w:id="8" w:name="_Toc128756526"/>
      <w:r>
        <w:rPr>
          <w:rFonts w:ascii="Times New Roman"/>
        </w:rPr>
        <w:t>（四）引导全社会消费新能源等绿色电力</w:t>
      </w:r>
      <w:bookmarkEnd w:id="8"/>
    </w:p>
    <w:p>
      <w:pPr>
        <w:rPr>
          <w:rFonts w:eastAsia="方正楷体_GBK"/>
        </w:rPr>
      </w:pPr>
      <w:r>
        <w:rPr>
          <w:rFonts w:eastAsia="方正楷体_GBK"/>
        </w:rPr>
        <w:t>主要政策点1：开展绿色电力交易试点，推动绿色电力在交易组织、电网调度、价格形成机制等方面体现优先地位，为市场主体提供功能健全、友好易用的绿色电力交易服务。</w:t>
      </w:r>
    </w:p>
    <w:p>
      <w:r>
        <w:t>新能源等绿色电力具备双重属性，一是物理电能量属性，用于满足电力用户的用能需求；二是环境属性，体现在减少污染物和温室气体排放方面发挥的作用，国际上通常采用绿色电力证书（简称绿证）作为环境价值交易载体。绿证与物理电能量相互独立，在具体交易时，分为</w:t>
      </w:r>
      <w:r>
        <w:rPr>
          <w:rFonts w:hint="eastAsia" w:ascii="方正仿宋_GBK" w:hAnsi="方正仿宋_GBK"/>
        </w:rPr>
        <w:t>“</w:t>
      </w:r>
      <w:r>
        <w:t>证随电走</w:t>
      </w:r>
      <w:r>
        <w:rPr>
          <w:rFonts w:hint="eastAsia" w:ascii="方正仿宋_GBK" w:hAnsi="方正仿宋_GBK"/>
        </w:rPr>
        <w:t>”</w:t>
      </w:r>
      <w:r>
        <w:t>（绿证和对应物理电量一起参与交易）、</w:t>
      </w:r>
      <w:r>
        <w:rPr>
          <w:rFonts w:hint="eastAsia" w:ascii="方正仿宋_GBK" w:hAnsi="方正仿宋_GBK"/>
        </w:rPr>
        <w:t>“</w:t>
      </w:r>
      <w:r>
        <w:t>证电分离</w:t>
      </w:r>
      <w:r>
        <w:rPr>
          <w:rFonts w:hint="eastAsia" w:ascii="方正仿宋_GBK" w:hAnsi="方正仿宋_GBK"/>
        </w:rPr>
        <w:t>”</w:t>
      </w:r>
      <w:r>
        <w:t>（绿证和对应物理电量分别单独交易）两种模式。我国绿证制度自2017年建立以来，以</w:t>
      </w:r>
      <w:r>
        <w:rPr>
          <w:rFonts w:hint="eastAsia" w:ascii="方正仿宋_GBK" w:hAnsi="方正仿宋_GBK"/>
        </w:rPr>
        <w:t>“</w:t>
      </w:r>
      <w:r>
        <w:t>证电分离</w:t>
      </w:r>
      <w:r>
        <w:rPr>
          <w:rFonts w:hint="eastAsia" w:ascii="方正仿宋_GBK" w:hAnsi="方正仿宋_GBK"/>
        </w:rPr>
        <w:t>”</w:t>
      </w:r>
      <w:r>
        <w:t>交易模式为主</w:t>
      </w:r>
      <w:r>
        <w:rPr>
          <w:rFonts w:hint="eastAsia"/>
        </w:rPr>
        <w:t>。</w:t>
      </w:r>
      <w:r>
        <w:t>为提高绿证交易灵活性，进一步提升全社会绿电消费水平，2021年，国家发展改革委、国家能源局批复北京电力交易中心（简称北交）、广州电力交易中心（简称广交）提交的绿色电力交易试点方案，基于全国统一的绿证体系，试点启动绿色电力交易（简称</w:t>
      </w:r>
      <w:r>
        <w:rPr>
          <w:rFonts w:hint="eastAsia" w:ascii="方正仿宋_GBK" w:hAnsi="方正仿宋_GBK"/>
        </w:rPr>
        <w:t>“</w:t>
      </w:r>
      <w:r>
        <w:t>绿电交易</w:t>
      </w:r>
      <w:r>
        <w:rPr>
          <w:rFonts w:hint="eastAsia" w:ascii="方正仿宋_GBK" w:hAnsi="方正仿宋_GBK"/>
        </w:rPr>
        <w:t>”</w:t>
      </w:r>
      <w:r>
        <w:t>），即试点</w:t>
      </w:r>
      <w:r>
        <w:rPr>
          <w:rFonts w:hint="eastAsia" w:ascii="方正仿宋_GBK" w:hAnsi="方正仿宋_GBK"/>
        </w:rPr>
        <w:t>“</w:t>
      </w:r>
      <w:r>
        <w:t>证随电走</w:t>
      </w:r>
      <w:r>
        <w:rPr>
          <w:rFonts w:hint="eastAsia" w:ascii="方正仿宋_GBK" w:hAnsi="方正仿宋_GBK"/>
        </w:rPr>
        <w:t>”</w:t>
      </w:r>
      <w:r>
        <w:t>交易模式。批复明确绿色电力交易要充分体现绿色电力的环境属性价值，同时要做好绿色电力交易与绿证机制的衔接，建立全国统一的绿证制度。国家可再生能源信息管理中心根据绿色电力交易试点需要，向北京、广州电力交易中心批量核发绿证。</w:t>
      </w:r>
    </w:p>
    <w:p>
      <w:r>
        <w:t>根据北交、广交发布的绿色电力交易规则，绿电交易是指电力用户或售电公司与绿色电力发电企业依据规则同步开展电力中长期交易和绿证认购交易的过程，市场主体在申报电量的同时，分别申报电能量价格、绿证（环境溢价）价格，相关价格通过市场形成。同一交易周期内，绿色电力直接交易安排在其他电力中长期交易之前组织开展，在保证电网安全运行的基础上，绿色电力交易合同将优先安排，保证交易结果的优先执行，充分体现绿电交易的优先地位。为做好绿色电力交易服务，北交、广交均明确要完善电力交易系统功能，如北交建立了</w:t>
      </w:r>
      <w:r>
        <w:rPr>
          <w:rFonts w:hint="eastAsia" w:ascii="方正仿宋_GBK" w:hAnsi="方正仿宋_GBK"/>
        </w:rPr>
        <w:t>“</w:t>
      </w:r>
      <w:r>
        <w:t>e-交易</w:t>
      </w:r>
      <w:r>
        <w:rPr>
          <w:rFonts w:hint="eastAsia" w:ascii="方正仿宋_GBK" w:hAnsi="方正仿宋_GBK"/>
        </w:rPr>
        <w:t>”</w:t>
      </w:r>
      <w:r>
        <w:t>电力市场服务平台，更好支撑绿色电力交易组织开展</w:t>
      </w:r>
      <w:r>
        <w:rPr>
          <w:rFonts w:hint="eastAsia"/>
        </w:rPr>
        <w:t>，</w:t>
      </w:r>
      <w:r>
        <w:t>做好交易服务。</w:t>
      </w:r>
    </w:p>
    <w:p>
      <w:r>
        <w:t>绿电交易是促进绿电消费的重要途径，根据《实施方案》要求，下一步北交、广交及有关机构应不断完善绿电交易机制，提升绿电交易服务水平，满足绿电交易市场需要，扩大交易规模。</w:t>
      </w:r>
    </w:p>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8"/>
              <w:ind w:firstLine="0" w:firstLineChars="0"/>
              <w:rPr>
                <w:sz w:val="30"/>
                <w:szCs w:val="30"/>
              </w:rPr>
            </w:pPr>
            <w:r>
              <w:rPr>
                <w:sz w:val="30"/>
                <w:szCs w:val="30"/>
              </w:rPr>
              <w:t>案例1-</w:t>
            </w:r>
            <w:r>
              <w:rPr>
                <w:rFonts w:hint="eastAsia"/>
                <w:sz w:val="30"/>
                <w:szCs w:val="30"/>
              </w:rPr>
              <w:t xml:space="preserve">8  </w:t>
            </w:r>
            <w:r>
              <w:rPr>
                <w:sz w:val="30"/>
                <w:szCs w:val="30"/>
              </w:rPr>
              <w:t>绿色电力交易试点工作</w:t>
            </w:r>
            <w:r>
              <w:rPr>
                <w:rFonts w:hint="eastAsia"/>
                <w:sz w:val="30"/>
                <w:szCs w:val="30"/>
              </w:rPr>
              <w:t>取得进展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color w:val="000000"/>
                <w:sz w:val="28"/>
              </w:rPr>
            </w:pPr>
            <w:r>
              <w:rPr>
                <w:sz w:val="28"/>
              </w:rPr>
              <w:t>2021年9月7日，绿电交易正式启动。交易首日，</w:t>
            </w:r>
            <w:r>
              <w:rPr>
                <w:rFonts w:hint="eastAsia"/>
                <w:sz w:val="28"/>
              </w:rPr>
              <w:t>上海14户直接参与交易的电力用户与西北光伏发电企业获得成交，实现了全国首单绿电交易，总成交电量15.3亿千瓦时。</w:t>
            </w:r>
            <w:r>
              <w:rPr>
                <w:sz w:val="28"/>
              </w:rPr>
              <w:t>北交、广交组织的首批绿电交易电量共计79.35亿千瓦时，其中，68.98亿千瓦时在北交完成，10.37亿千瓦时在广交完成，交易价格较当地电力中长期交易价格溢价0.03-0.05元/千瓦时</w:t>
            </w:r>
            <w:r>
              <w:rPr>
                <w:rFonts w:hint="eastAsia"/>
                <w:sz w:val="28"/>
              </w:rPr>
              <w:t>，</w:t>
            </w:r>
            <w:r>
              <w:rPr>
                <w:color w:val="000000"/>
                <w:sz w:val="28"/>
              </w:rPr>
              <w:t>共17个省份259家市场主体参与</w:t>
            </w:r>
            <w:r>
              <w:rPr>
                <w:sz w:val="28"/>
              </w:rPr>
              <w:t>。国家可再生能源信息管理中心根据绿电交易已结算数据，批量核发绿证至北交、广交专用绿证账户</w:t>
            </w:r>
            <w:r>
              <w:rPr>
                <w:rFonts w:hint="eastAsia"/>
                <w:sz w:val="28"/>
              </w:rPr>
              <w:t>。</w:t>
            </w:r>
            <w:r>
              <w:rPr>
                <w:sz w:val="28"/>
              </w:rPr>
              <w:t>根据中国绿证认购平台数据，截至2022年7月底已核发绿电对应绿证超过108万个。交易中心引入区块链技术</w:t>
            </w:r>
            <w:r>
              <w:rPr>
                <w:rFonts w:hint="eastAsia"/>
                <w:sz w:val="28"/>
              </w:rPr>
              <w:t>，</w:t>
            </w:r>
            <w:r>
              <w:rPr>
                <w:sz w:val="28"/>
              </w:rPr>
              <w:t>全面</w:t>
            </w:r>
            <w:r>
              <w:rPr>
                <w:rFonts w:hint="eastAsia"/>
                <w:sz w:val="28"/>
              </w:rPr>
              <w:t>记</w:t>
            </w:r>
            <w:r>
              <w:rPr>
                <w:sz w:val="28"/>
              </w:rPr>
              <w:t>录绿电生产</w:t>
            </w:r>
            <w:r>
              <w:rPr>
                <w:rFonts w:hint="eastAsia"/>
                <w:sz w:val="28"/>
              </w:rPr>
              <w:t>、</w:t>
            </w:r>
            <w:r>
              <w:rPr>
                <w:sz w:val="28"/>
              </w:rPr>
              <w:t>交易</w:t>
            </w:r>
            <w:r>
              <w:rPr>
                <w:rFonts w:hint="eastAsia"/>
                <w:sz w:val="28"/>
              </w:rPr>
              <w:t>、</w:t>
            </w:r>
            <w:r>
              <w:rPr>
                <w:sz w:val="28"/>
              </w:rPr>
              <w:t>传输</w:t>
            </w:r>
            <w:r>
              <w:rPr>
                <w:rFonts w:hint="eastAsia"/>
                <w:sz w:val="28"/>
              </w:rPr>
              <w:t>、</w:t>
            </w:r>
            <w:r>
              <w:rPr>
                <w:sz w:val="28"/>
              </w:rPr>
              <w:t>消费</w:t>
            </w:r>
            <w:r>
              <w:rPr>
                <w:rFonts w:hint="eastAsia"/>
                <w:sz w:val="28"/>
              </w:rPr>
              <w:t>、</w:t>
            </w:r>
            <w:r>
              <w:rPr>
                <w:sz w:val="28"/>
              </w:rPr>
              <w:t>结算等各个环节信息</w:t>
            </w:r>
            <w:r>
              <w:rPr>
                <w:rFonts w:hint="eastAsia"/>
                <w:sz w:val="28"/>
              </w:rPr>
              <w:t>，</w:t>
            </w:r>
            <w:r>
              <w:rPr>
                <w:sz w:val="28"/>
              </w:rPr>
              <w:t>实现绿电交易全流程可信溯源</w:t>
            </w:r>
            <w:r>
              <w:rPr>
                <w:rFonts w:hint="eastAsia"/>
                <w:sz w:val="28"/>
              </w:rPr>
              <w:t>。</w:t>
            </w:r>
          </w:p>
        </w:tc>
      </w:tr>
    </w:tbl>
    <w:p/>
    <w:p>
      <w:pPr>
        <w:rPr>
          <w:rFonts w:eastAsia="方正楷体_GBK"/>
        </w:rPr>
      </w:pPr>
      <w:r>
        <w:rPr>
          <w:rFonts w:eastAsia="方正楷体_GBK"/>
        </w:rPr>
        <w:t>主要政策点2：完善绿色电力证书制度，推广绿色电力证书交易，加强与碳排放权交易市场的有效衔接。</w:t>
      </w:r>
    </w:p>
    <w:p>
      <w:r>
        <w:t>为提升全社会绿色电力消费水平、助力促进新能源行业高质量发展，2017年1月，国家发展改革委、财政部、国家能源局联合发布《关于试行可再生能源绿色电力证书核发及自愿认购交易制度的通知》（发改能源〔2017〕132号），明确绿色电力证书（简称</w:t>
      </w:r>
      <w:r>
        <w:rPr>
          <w:rFonts w:hint="eastAsia" w:ascii="方正仿宋_GBK" w:hAnsi="方正仿宋_GBK"/>
        </w:rPr>
        <w:t>“</w:t>
      </w:r>
      <w:r>
        <w:t>绿证）是绿色电力消费的唯一凭证，同时对补贴清单内的集中式风电、光伏电站项目发电量核发绿证，在全国范围内启动绿色电力证书自愿认购制度。根据政策规定，补贴项目绿证价格不高于证书对应电量的度电补贴水平，且绿证出售后</w:t>
      </w:r>
      <w:r>
        <w:rPr>
          <w:rFonts w:hint="eastAsia"/>
        </w:rPr>
        <w:t>，</w:t>
      </w:r>
      <w:r>
        <w:t>相应的电量不再享受来自可再生能源发展</w:t>
      </w:r>
      <w:r>
        <w:rPr>
          <w:rFonts w:hint="eastAsia"/>
        </w:rPr>
        <w:t>基金</w:t>
      </w:r>
      <w:r>
        <w:t>的电价补贴，导致补贴项目绿证价格整体偏高，最低价格为128.6元/个（对应1兆瓦时电量）。</w:t>
      </w:r>
    </w:p>
    <w:p>
      <w:pPr>
        <w:textAlignment w:val="auto"/>
      </w:pPr>
      <w:r>
        <w:t>2019年1月，国家发展改革委、国家能源局联合发布《关于积极推进风电、光伏发电无补贴平价上网有关工作的通知》（发改能源〔2019〕19号），明确风电、光伏发电平价上网项目和低价上网项目，可按国家可再生能源绿色电力证书管理机制和政策获得可交易的绿证，并通过出售绿证获得收益。与补贴项目绿证不同，平价项目绿证价格完全由市场形成，交易价格大幅低于补贴项目绿证，市场接受度更高，2021年6月平价绿证上线以来，认购交易量迅速增加，截至2022年7月底，补贴替代绿证累计交易7.9万个，平价项目绿证累计交易193.6万个，证电一体绿证累计发放108.6万个。</w:t>
      </w:r>
    </w:p>
    <w:p>
      <w:pPr>
        <w:textAlignment w:val="auto"/>
      </w:pPr>
      <w:r>
        <w:t>电力是我国碳排放重点行业，为助力如期实现碳达峰、碳中和，要充分发挥绿证机制作用，做好与碳排放权交易市场的衔接，不断拓展绿证应用场景</w:t>
      </w:r>
      <w:r>
        <w:rPr>
          <w:rFonts w:hint="eastAsia"/>
        </w:rPr>
        <w:t>，</w:t>
      </w:r>
      <w:r>
        <w:t>推广绿证交易，提升绿色电力消费共识、助力能源结构转型。2022年1月，国家发展改革委等七部委联合发布《促进绿色消费实施方案》（发改就业〔2022〕107号），明确提出要建立绿电交易与消纳责任权重挂钩机制，市场化用户通过购买绿电或绿证完成权重目标，同时要求加强与碳排放权交易的衔接，研究在排放量核算中将绿电相关碳排放量予以扣减的可行性。完善绿色电力证书制度，推广绿色电力证书交易，加强与碳排放权交易市场的有效衔接是下一步落实和重点工作方向。</w:t>
      </w:r>
    </w:p>
    <w:p>
      <w:pPr>
        <w:textAlignment w:val="auto"/>
      </w:pPr>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8"/>
              <w:ind w:firstLine="0" w:firstLineChars="0"/>
              <w:rPr>
                <w:sz w:val="30"/>
                <w:szCs w:val="30"/>
              </w:rPr>
            </w:pPr>
            <w:r>
              <w:rPr>
                <w:sz w:val="30"/>
                <w:szCs w:val="30"/>
              </w:rPr>
              <w:t>案例1-</w:t>
            </w:r>
            <w:r>
              <w:rPr>
                <w:rFonts w:hint="eastAsia"/>
                <w:sz w:val="30"/>
                <w:szCs w:val="30"/>
              </w:rPr>
              <w:t xml:space="preserve">9  </w:t>
            </w:r>
            <w:r>
              <w:rPr>
                <w:sz w:val="30"/>
                <w:szCs w:val="30"/>
              </w:rPr>
              <w:t>推广绿证交易、助力会场用电零碳化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rPr>
            </w:pPr>
            <w:r>
              <w:rPr>
                <w:color w:val="000000"/>
                <w:sz w:val="28"/>
              </w:rPr>
              <w:t>2021年6月28日，国家能源局在</w:t>
            </w:r>
            <w:r>
              <w:rPr>
                <w:rFonts w:hint="eastAsia" w:ascii="方正仿宋_GBK" w:hAnsi="方正仿宋_GBK"/>
                <w:color w:val="000000"/>
                <w:sz w:val="28"/>
              </w:rPr>
              <w:t>“</w:t>
            </w:r>
            <w:r>
              <w:rPr>
                <w:color w:val="000000"/>
                <w:sz w:val="28"/>
              </w:rPr>
              <w:t>2021年国际能源变革对话</w:t>
            </w:r>
            <w:r>
              <w:rPr>
                <w:rFonts w:hint="eastAsia" w:ascii="方正仿宋_GBK" w:hAnsi="方正仿宋_GBK"/>
                <w:color w:val="000000"/>
                <w:sz w:val="28"/>
              </w:rPr>
              <w:t>”</w:t>
            </w:r>
            <w:r>
              <w:rPr>
                <w:color w:val="000000"/>
                <w:sz w:val="28"/>
              </w:rPr>
              <w:t>上宣布了首笔平价绿证交易启动，国际能源变革对话组委会通过绿证认购平台购买了国电投中电朝阳光伏平价示范项目及中广核通榆新发风电平价示范项目绿证各60张，相当于12万千瓦时绿色电力，实现了会场用电零碳化以及会议交通绿色化，用实际行动践行绿色低碳发展理念，坚定助力推动碳达峰、碳中和目标的实现。</w:t>
            </w:r>
          </w:p>
        </w:tc>
      </w:tr>
    </w:tbl>
    <w:p>
      <w:pPr>
        <w:rPr>
          <w:rFonts w:eastAsia="楷体"/>
        </w:rPr>
      </w:pPr>
    </w:p>
    <w:p>
      <w:pPr>
        <w:rPr>
          <w:rFonts w:eastAsia="方正楷体_GBK"/>
        </w:rPr>
      </w:pPr>
      <w:r>
        <w:rPr>
          <w:rFonts w:eastAsia="方正楷体_GBK"/>
        </w:rPr>
        <w:t>主要政策点3：建立完善新能源绿色消费认证、标识体系和公示制度。加大认证采信力度，引导企业利用新能源等绿色电力制造产品和提供服务。鼓励各类用户购买新能源等绿色电力制造的产品。</w:t>
      </w:r>
    </w:p>
    <w:p>
      <w:r>
        <w:t>目前，国家层面尚未建立完善的绿色电力消费认证标准、标识体系和公示制度，企业、自然人认购绿证后，主要体现自身在使用绿色能源方面的社会责任与环保主张，不能推动生产生活成本降低、也不能给企业、个人带来政策优惠等实质性利益，难以调动各方绿色电力消费积极性。</w:t>
      </w:r>
      <w:r>
        <w:rPr>
          <w:rFonts w:hint="eastAsia"/>
        </w:rPr>
        <w:t>同时，</w:t>
      </w:r>
      <w:r>
        <w:t>我国仅少部分认证机构初步开展了绿色电力消费认证工作</w:t>
      </w:r>
      <w:r>
        <w:rPr>
          <w:rFonts w:hint="eastAsia"/>
        </w:rPr>
        <w:t>。</w:t>
      </w:r>
      <w:r>
        <w:t>2017年绿证自愿认购制度启动后，为配合国家政策有效执行，进一步增强绿电消费者的荣誉感，</w:t>
      </w:r>
      <w:r>
        <w:rPr>
          <w:rFonts w:hint="eastAsia"/>
        </w:rPr>
        <w:t>相关单位</w:t>
      </w:r>
      <w:r>
        <w:t>编制《绿色电力消费评价技术规范》，初步对绿色电力认可的范围及主要消费途径做出规定，制定了针对组织、活动和个人三个层面的绿色电力消费的评价要求，并基于评价结果向符合评价要求的申请人颁发证书并授予标识使用权</w:t>
      </w:r>
      <w:r>
        <w:rPr>
          <w:rFonts w:hint="eastAsia"/>
        </w:rPr>
        <w:t>。</w:t>
      </w:r>
      <w:r>
        <w:t>但由于产品方面的需求较为多样化，暂未开展针对产品的绿色电力消费评价工作。中国质量认证中心目前正在编制产品、组织、活动相关绿色能源消费评价技术规范。</w:t>
      </w:r>
    </w:p>
    <w:p>
      <w:r>
        <w:t>《实施方案》提出</w:t>
      </w:r>
      <w:r>
        <w:rPr>
          <w:rFonts w:hint="eastAsia" w:ascii="方正仿宋_GBK" w:hAnsi="方正仿宋_GBK"/>
        </w:rPr>
        <w:t>“</w:t>
      </w:r>
      <w:r>
        <w:t>建立完善新能源绿色消费认证、标识体系和公示制度。加大认证采信力度，引导企业利用新能源等绿色电力制造产品和提供服务。鼓励各类用户购买新能源等绿色电力制造的产品</w:t>
      </w:r>
      <w:r>
        <w:rPr>
          <w:rFonts w:hint="eastAsia" w:ascii="方正仿宋_GBK" w:hAnsi="方正仿宋_GBK"/>
        </w:rPr>
        <w:t>”</w:t>
      </w:r>
      <w:r>
        <w:t>，将推动我国加快建立健全绿色电力消费体系，实现绿色电力消费价值向商品端传导，是提升全社会绿色电力消费意识的重要举措。</w:t>
      </w:r>
    </w:p>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8"/>
              <w:ind w:firstLine="0" w:firstLineChars="0"/>
              <w:rPr>
                <w:sz w:val="30"/>
                <w:szCs w:val="30"/>
              </w:rPr>
            </w:pPr>
            <w:r>
              <w:rPr>
                <w:sz w:val="30"/>
                <w:szCs w:val="30"/>
              </w:rPr>
              <w:t>案例1-</w:t>
            </w:r>
            <w:r>
              <w:rPr>
                <w:rFonts w:hint="eastAsia"/>
                <w:sz w:val="30"/>
                <w:szCs w:val="30"/>
              </w:rPr>
              <w:t xml:space="preserve">10  </w:t>
            </w:r>
            <w:r>
              <w:rPr>
                <w:rFonts w:hint="eastAsia" w:ascii="方正仿宋_GBK" w:hAnsi="方正仿宋_GBK"/>
                <w:sz w:val="30"/>
                <w:szCs w:val="30"/>
                <w:lang w:val="en-GB"/>
              </w:rPr>
              <w:t>“</w:t>
            </w:r>
            <w:r>
              <w:rPr>
                <w:sz w:val="30"/>
                <w:szCs w:val="30"/>
                <w:lang w:val="en-GB"/>
              </w:rPr>
              <w:t>2021年国际能源变革对话</w:t>
            </w:r>
            <w:r>
              <w:rPr>
                <w:rFonts w:hint="eastAsia" w:ascii="方正仿宋_GBK" w:hAnsi="方正仿宋_GBK"/>
                <w:sz w:val="30"/>
                <w:szCs w:val="30"/>
                <w:lang w:val="en-GB"/>
              </w:rPr>
              <w:t>”</w:t>
            </w:r>
            <w:r>
              <w:rPr>
                <w:sz w:val="30"/>
                <w:szCs w:val="30"/>
                <w:lang w:val="en-GB"/>
              </w:rPr>
              <w:t>获得</w:t>
            </w:r>
            <w:r>
              <w:rPr>
                <w:sz w:val="30"/>
                <w:szCs w:val="30"/>
              </w:rPr>
              <w:t>绿色电力消费认证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rPr>
            </w:pPr>
            <w:r>
              <w:rPr>
                <w:color w:val="000000"/>
                <w:sz w:val="28"/>
              </w:rPr>
              <w:t>2021年6月27日~29日，</w:t>
            </w:r>
            <w:r>
              <w:rPr>
                <w:rFonts w:hint="eastAsia" w:ascii="方正仿宋_GBK" w:hAnsi="方正仿宋_GBK"/>
                <w:color w:val="000000"/>
                <w:sz w:val="28"/>
              </w:rPr>
              <w:t>“</w:t>
            </w:r>
            <w:r>
              <w:rPr>
                <w:color w:val="000000"/>
                <w:sz w:val="28"/>
              </w:rPr>
              <w:t>2021年国际能源变革对话</w:t>
            </w:r>
            <w:r>
              <w:rPr>
                <w:rFonts w:hint="eastAsia" w:ascii="方正仿宋_GBK" w:hAnsi="方正仿宋_GBK"/>
                <w:color w:val="000000"/>
                <w:sz w:val="28"/>
              </w:rPr>
              <w:t>”</w:t>
            </w:r>
            <w:r>
              <w:rPr>
                <w:color w:val="000000"/>
                <w:sz w:val="28"/>
              </w:rPr>
              <w:t>在江苏苏州召开，组委会通过购买平价绿证的方式，实现了会场用电零碳化以及会议交通绿色化。北京鉴衡认证中心对本次对话准备期及会议期间全过程的电力消费总量进行了核算，并对绿证购买信息进行了核实，依据《绿色电力消费评价技术规范》开展了绿色电力消费认证。本次会议成为国内首个通过购买平价绿证实现</w:t>
            </w:r>
            <w:r>
              <w:rPr>
                <w:rFonts w:hint="eastAsia" w:ascii="方正仿宋_GBK" w:hAnsi="方正仿宋_GBK"/>
                <w:color w:val="000000"/>
                <w:sz w:val="28"/>
              </w:rPr>
              <w:t>“</w:t>
            </w:r>
            <w:r>
              <w:rPr>
                <w:color w:val="000000"/>
                <w:sz w:val="28"/>
              </w:rPr>
              <w:t>100%绿色电力消费</w:t>
            </w:r>
            <w:r>
              <w:rPr>
                <w:rFonts w:hint="eastAsia" w:ascii="方正仿宋_GBK" w:hAnsi="方正仿宋_GBK"/>
                <w:color w:val="000000"/>
                <w:sz w:val="28"/>
              </w:rPr>
              <w:t>”</w:t>
            </w:r>
            <w:r>
              <w:rPr>
                <w:color w:val="000000"/>
                <w:sz w:val="28"/>
              </w:rPr>
              <w:t>的大型活动。</w:t>
            </w:r>
          </w:p>
        </w:tc>
      </w:tr>
    </w:tbl>
    <w:p/>
    <w:sectPr>
      <w:pgSz w:w="11907" w:h="16839"/>
      <w:pgMar w:top="1985" w:right="1616" w:bottom="1814" w:left="161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615"/>
        <w:tab w:val="clear" w:pos="4153"/>
        <w:tab w:val="clear" w:pos="8306"/>
      </w:tabs>
      <w:spacing w:line="240" w:lineRule="auto"/>
      <w:ind w:firstLine="0" w:firstLineChars="0"/>
      <w:rPr>
        <w:rFonts w:eastAsiaTheme="minorEastAsia"/>
        <w:sz w:val="24"/>
        <w:szCs w:val="24"/>
      </w:rPr>
    </w:pPr>
    <w:r>
      <w:rPr>
        <w:rFonts w:eastAsiaTheme="minorEastAsia"/>
        <w:sz w:val="24"/>
        <w:szCs w:val="24"/>
      </w:rPr>
      <w:t xml:space="preserve">— </w:t>
    </w:r>
    <w:r>
      <w:rPr>
        <w:rFonts w:eastAsiaTheme="minorEastAsia"/>
        <w:sz w:val="24"/>
        <w:szCs w:val="24"/>
      </w:rPr>
      <w:fldChar w:fldCharType="begin"/>
    </w:r>
    <w:r>
      <w:rPr>
        <w:rFonts w:eastAsiaTheme="minorEastAsia"/>
        <w:sz w:val="24"/>
        <w:szCs w:val="24"/>
      </w:rPr>
      <w:instrText xml:space="preserve">PAGE   \* MERGEFORMAT</w:instrText>
    </w:r>
    <w:r>
      <w:rPr>
        <w:rFonts w:eastAsiaTheme="minorEastAsia"/>
        <w:sz w:val="24"/>
        <w:szCs w:val="24"/>
      </w:rPr>
      <w:fldChar w:fldCharType="separate"/>
    </w:r>
    <w:r>
      <w:rPr>
        <w:rFonts w:eastAsiaTheme="minorEastAsia"/>
        <w:sz w:val="24"/>
        <w:szCs w:val="24"/>
        <w:lang w:val="zh-CN"/>
      </w:rPr>
      <w:t>2</w:t>
    </w:r>
    <w:r>
      <w:rPr>
        <w:rFonts w:eastAsiaTheme="minorEastAsia"/>
        <w:sz w:val="24"/>
        <w:szCs w:val="24"/>
      </w:rPr>
      <w:fldChar w:fldCharType="end"/>
    </w:r>
    <w:r>
      <w:rPr>
        <w:rFonts w:eastAsiaTheme="minorEastAsia"/>
        <w:sz w:val="24"/>
        <w:szCs w:val="24"/>
      </w:rPr>
      <w:t xml:space="preserve"> —</w:t>
    </w:r>
    <w:r>
      <w:rPr>
        <w:rFonts w:eastAsiaTheme="minorEastAsia"/>
        <w:sz w:val="24"/>
        <w:szCs w:val="24"/>
      </w:rPr>
      <w:tab/>
    </w:r>
  </w:p>
  <w:p>
    <w:pPr>
      <w:pStyle w:val="5"/>
      <w:tabs>
        <w:tab w:val="left" w:pos="1615"/>
        <w:tab w:val="clear" w:pos="4153"/>
        <w:tab w:val="clear" w:pos="8306"/>
      </w:tabs>
      <w:spacing w:line="240" w:lineRule="auto"/>
      <w:ind w:firstLine="0" w:firstLineChars="0"/>
      <w:rPr>
        <w:rFonts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right"/>
    </w:pPr>
    <w:r>
      <w:rPr>
        <w:rFonts w:eastAsiaTheme="minorEastAsia"/>
        <w:sz w:val="24"/>
        <w:szCs w:val="24"/>
      </w:rPr>
      <w:t xml:space="preserve">— </w:t>
    </w:r>
    <w:r>
      <w:rPr>
        <w:rFonts w:eastAsiaTheme="minorEastAsia"/>
        <w:sz w:val="24"/>
        <w:szCs w:val="24"/>
      </w:rPr>
      <w:fldChar w:fldCharType="begin"/>
    </w:r>
    <w:r>
      <w:rPr>
        <w:rFonts w:eastAsiaTheme="minorEastAsia"/>
        <w:sz w:val="24"/>
        <w:szCs w:val="24"/>
      </w:rPr>
      <w:instrText xml:space="preserve">PAGE   \* MERGEFORMAT</w:instrText>
    </w:r>
    <w:r>
      <w:rPr>
        <w:rFonts w:eastAsiaTheme="minorEastAsia"/>
        <w:sz w:val="24"/>
        <w:szCs w:val="24"/>
      </w:rPr>
      <w:fldChar w:fldCharType="separate"/>
    </w:r>
    <w:r>
      <w:rPr>
        <w:rFonts w:eastAsiaTheme="minorEastAsia"/>
        <w:sz w:val="24"/>
        <w:szCs w:val="24"/>
        <w:lang w:val="zh-CN"/>
      </w:rPr>
      <w:t>1</w:t>
    </w:r>
    <w:r>
      <w:rPr>
        <w:rFonts w:eastAsiaTheme="minorEastAsia"/>
        <w:sz w:val="24"/>
        <w:szCs w:val="24"/>
      </w:rPr>
      <w:fldChar w:fldCharType="end"/>
    </w:r>
    <w:r>
      <w:rPr>
        <w:rFonts w:eastAsiaTheme="minorEastAsia"/>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615"/>
        <w:tab w:val="clear" w:pos="4153"/>
        <w:tab w:val="clear" w:pos="8306"/>
      </w:tabs>
      <w:spacing w:line="240" w:lineRule="auto"/>
      <w:ind w:firstLine="0" w:firstLineChars="0"/>
      <w:rPr>
        <w:rFonts w:eastAsiaTheme="minorEastAsia"/>
        <w:sz w:val="24"/>
        <w:szCs w:val="24"/>
      </w:rPr>
    </w:pPr>
    <w:r>
      <w:rPr>
        <w:rFonts w:eastAsiaTheme="minorEastAsia"/>
        <w:sz w:val="24"/>
        <w:szCs w:val="24"/>
      </w:rPr>
      <w:t xml:space="preserve">— </w:t>
    </w:r>
    <w:r>
      <w:rPr>
        <w:rFonts w:eastAsiaTheme="minorEastAsia"/>
        <w:sz w:val="24"/>
        <w:szCs w:val="24"/>
      </w:rPr>
      <w:fldChar w:fldCharType="begin"/>
    </w:r>
    <w:r>
      <w:rPr>
        <w:rFonts w:eastAsiaTheme="minorEastAsia"/>
        <w:sz w:val="24"/>
        <w:szCs w:val="24"/>
      </w:rPr>
      <w:instrText xml:space="preserve">PAGE   \* MERGEFORMAT</w:instrText>
    </w:r>
    <w:r>
      <w:rPr>
        <w:rFonts w:eastAsiaTheme="minorEastAsia"/>
        <w:sz w:val="24"/>
        <w:szCs w:val="24"/>
      </w:rPr>
      <w:fldChar w:fldCharType="separate"/>
    </w:r>
    <w:r>
      <w:rPr>
        <w:rFonts w:eastAsiaTheme="minorEastAsia"/>
        <w:sz w:val="24"/>
        <w:szCs w:val="24"/>
        <w:lang w:val="zh-CN"/>
      </w:rPr>
      <w:t>2</w:t>
    </w:r>
    <w:r>
      <w:rPr>
        <w:rFonts w:eastAsiaTheme="minorEastAsia"/>
        <w:sz w:val="24"/>
        <w:szCs w:val="24"/>
      </w:rPr>
      <w:fldChar w:fldCharType="end"/>
    </w:r>
    <w:r>
      <w:rPr>
        <w:rFonts w:eastAsiaTheme="minorEastAsia"/>
        <w:sz w:val="24"/>
        <w:szCs w:val="24"/>
      </w:rPr>
      <w:t xml:space="preserve"> —</w:t>
    </w:r>
    <w:r>
      <w:rPr>
        <w:rFonts w:eastAsiaTheme="minorEastAsia"/>
        <w:sz w:val="24"/>
        <w:szCs w:val="24"/>
      </w:rPr>
      <w:tab/>
    </w:r>
  </w:p>
  <w:p>
    <w:pPr>
      <w:pStyle w:val="5"/>
      <w:tabs>
        <w:tab w:val="left" w:pos="1615"/>
        <w:tab w:val="clear" w:pos="4153"/>
        <w:tab w:val="clear" w:pos="8306"/>
      </w:tabs>
      <w:spacing w:line="240" w:lineRule="auto"/>
      <w:ind w:firstLine="0" w:firstLineChars="0"/>
      <w:rPr>
        <w:rFonts w:eastAsia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615"/>
        <w:tab w:val="clear" w:pos="4153"/>
        <w:tab w:val="clear" w:pos="8306"/>
      </w:tabs>
      <w:spacing w:line="240" w:lineRule="auto"/>
      <w:ind w:firstLine="0" w:firstLineChars="0"/>
      <w:rPr>
        <w:rFonts w:eastAsiaTheme="minorEastAsia"/>
        <w:sz w:val="24"/>
        <w:szCs w:val="24"/>
      </w:rPr>
    </w:pPr>
    <w:r>
      <w:rPr>
        <w:rFonts w:eastAsiaTheme="minorEastAsia"/>
        <w:sz w:val="24"/>
        <w:szCs w:val="24"/>
      </w:rPr>
      <w:tab/>
    </w:r>
  </w:p>
  <w:p>
    <w:pPr>
      <w:pStyle w:val="5"/>
      <w:tabs>
        <w:tab w:val="left" w:pos="1615"/>
        <w:tab w:val="clear" w:pos="4153"/>
        <w:tab w:val="clear" w:pos="8306"/>
      </w:tabs>
      <w:spacing w:line="240" w:lineRule="auto"/>
      <w:ind w:firstLine="0" w:firstLineChars="0"/>
      <w:rPr>
        <w:rFonts w:eastAsia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9E"/>
    <w:rsid w:val="00000397"/>
    <w:rsid w:val="0000063A"/>
    <w:rsid w:val="0000070B"/>
    <w:rsid w:val="0000095E"/>
    <w:rsid w:val="00000D97"/>
    <w:rsid w:val="00001055"/>
    <w:rsid w:val="00001561"/>
    <w:rsid w:val="000018BE"/>
    <w:rsid w:val="000018EA"/>
    <w:rsid w:val="00001B32"/>
    <w:rsid w:val="0000209A"/>
    <w:rsid w:val="000027BB"/>
    <w:rsid w:val="00002BA0"/>
    <w:rsid w:val="00002CE8"/>
    <w:rsid w:val="00002D61"/>
    <w:rsid w:val="00003014"/>
    <w:rsid w:val="00003019"/>
    <w:rsid w:val="00003249"/>
    <w:rsid w:val="00003722"/>
    <w:rsid w:val="00003990"/>
    <w:rsid w:val="000039E9"/>
    <w:rsid w:val="00003E60"/>
    <w:rsid w:val="00003EB9"/>
    <w:rsid w:val="00003F2B"/>
    <w:rsid w:val="0000426F"/>
    <w:rsid w:val="000042E6"/>
    <w:rsid w:val="000043A1"/>
    <w:rsid w:val="0000496E"/>
    <w:rsid w:val="00004A1D"/>
    <w:rsid w:val="00004AF3"/>
    <w:rsid w:val="00004B95"/>
    <w:rsid w:val="00004C1F"/>
    <w:rsid w:val="00004D6A"/>
    <w:rsid w:val="0000559E"/>
    <w:rsid w:val="00005A34"/>
    <w:rsid w:val="00005C53"/>
    <w:rsid w:val="00005C75"/>
    <w:rsid w:val="00006236"/>
    <w:rsid w:val="000064C7"/>
    <w:rsid w:val="00006532"/>
    <w:rsid w:val="000067D6"/>
    <w:rsid w:val="0000694D"/>
    <w:rsid w:val="00006EBD"/>
    <w:rsid w:val="0000716A"/>
    <w:rsid w:val="00007340"/>
    <w:rsid w:val="00007410"/>
    <w:rsid w:val="00007525"/>
    <w:rsid w:val="0000766C"/>
    <w:rsid w:val="0000766D"/>
    <w:rsid w:val="00007940"/>
    <w:rsid w:val="00007D85"/>
    <w:rsid w:val="00007E7B"/>
    <w:rsid w:val="00007EED"/>
    <w:rsid w:val="00007F95"/>
    <w:rsid w:val="000103A0"/>
    <w:rsid w:val="00010435"/>
    <w:rsid w:val="00010520"/>
    <w:rsid w:val="000105F6"/>
    <w:rsid w:val="000106FE"/>
    <w:rsid w:val="0001072D"/>
    <w:rsid w:val="00010872"/>
    <w:rsid w:val="00010D63"/>
    <w:rsid w:val="00010D77"/>
    <w:rsid w:val="00010F21"/>
    <w:rsid w:val="0001111F"/>
    <w:rsid w:val="00011308"/>
    <w:rsid w:val="0001142A"/>
    <w:rsid w:val="00011485"/>
    <w:rsid w:val="0001199B"/>
    <w:rsid w:val="000119CA"/>
    <w:rsid w:val="00011B0F"/>
    <w:rsid w:val="00011B7C"/>
    <w:rsid w:val="00011BAD"/>
    <w:rsid w:val="000122D1"/>
    <w:rsid w:val="000123C1"/>
    <w:rsid w:val="000126F8"/>
    <w:rsid w:val="000127EF"/>
    <w:rsid w:val="000128D1"/>
    <w:rsid w:val="000128FE"/>
    <w:rsid w:val="00012C8F"/>
    <w:rsid w:val="00012D19"/>
    <w:rsid w:val="00012E97"/>
    <w:rsid w:val="000131E4"/>
    <w:rsid w:val="00013792"/>
    <w:rsid w:val="00013940"/>
    <w:rsid w:val="00013B9A"/>
    <w:rsid w:val="00013CA8"/>
    <w:rsid w:val="000145B6"/>
    <w:rsid w:val="000149B4"/>
    <w:rsid w:val="00014E9C"/>
    <w:rsid w:val="000151F1"/>
    <w:rsid w:val="00015769"/>
    <w:rsid w:val="00015DF0"/>
    <w:rsid w:val="0001603F"/>
    <w:rsid w:val="00016256"/>
    <w:rsid w:val="00016941"/>
    <w:rsid w:val="00016A75"/>
    <w:rsid w:val="00016C8E"/>
    <w:rsid w:val="00016E8C"/>
    <w:rsid w:val="0001708D"/>
    <w:rsid w:val="000173AF"/>
    <w:rsid w:val="00017546"/>
    <w:rsid w:val="00017774"/>
    <w:rsid w:val="00017955"/>
    <w:rsid w:val="000179F5"/>
    <w:rsid w:val="00017DE9"/>
    <w:rsid w:val="00020383"/>
    <w:rsid w:val="000203DA"/>
    <w:rsid w:val="00020735"/>
    <w:rsid w:val="000207AA"/>
    <w:rsid w:val="000209AC"/>
    <w:rsid w:val="00020AA3"/>
    <w:rsid w:val="00020FF8"/>
    <w:rsid w:val="00021134"/>
    <w:rsid w:val="0002116B"/>
    <w:rsid w:val="000215F3"/>
    <w:rsid w:val="00021FFB"/>
    <w:rsid w:val="00022017"/>
    <w:rsid w:val="0002213C"/>
    <w:rsid w:val="0002277F"/>
    <w:rsid w:val="00022CE5"/>
    <w:rsid w:val="00022E3A"/>
    <w:rsid w:val="00022E78"/>
    <w:rsid w:val="00022F34"/>
    <w:rsid w:val="00022F66"/>
    <w:rsid w:val="0002321F"/>
    <w:rsid w:val="000232B0"/>
    <w:rsid w:val="00023797"/>
    <w:rsid w:val="00023A70"/>
    <w:rsid w:val="00023B2A"/>
    <w:rsid w:val="00023E72"/>
    <w:rsid w:val="00024033"/>
    <w:rsid w:val="00024037"/>
    <w:rsid w:val="000242D9"/>
    <w:rsid w:val="000244D3"/>
    <w:rsid w:val="00024504"/>
    <w:rsid w:val="00024567"/>
    <w:rsid w:val="00024894"/>
    <w:rsid w:val="000248DD"/>
    <w:rsid w:val="00024A4A"/>
    <w:rsid w:val="00024A82"/>
    <w:rsid w:val="00025190"/>
    <w:rsid w:val="00025246"/>
    <w:rsid w:val="0002571C"/>
    <w:rsid w:val="00025773"/>
    <w:rsid w:val="00025A41"/>
    <w:rsid w:val="00025BAE"/>
    <w:rsid w:val="00025D2E"/>
    <w:rsid w:val="0002603C"/>
    <w:rsid w:val="000261D0"/>
    <w:rsid w:val="000264DE"/>
    <w:rsid w:val="000268A1"/>
    <w:rsid w:val="0002690F"/>
    <w:rsid w:val="0002695F"/>
    <w:rsid w:val="00026A10"/>
    <w:rsid w:val="00026A92"/>
    <w:rsid w:val="000270AF"/>
    <w:rsid w:val="0002740F"/>
    <w:rsid w:val="00027966"/>
    <w:rsid w:val="00027C7E"/>
    <w:rsid w:val="000303DD"/>
    <w:rsid w:val="00030A0D"/>
    <w:rsid w:val="00030B55"/>
    <w:rsid w:val="00030E16"/>
    <w:rsid w:val="00030ED7"/>
    <w:rsid w:val="0003112D"/>
    <w:rsid w:val="00031134"/>
    <w:rsid w:val="0003125B"/>
    <w:rsid w:val="000312FB"/>
    <w:rsid w:val="0003130F"/>
    <w:rsid w:val="0003136F"/>
    <w:rsid w:val="00031494"/>
    <w:rsid w:val="000319A5"/>
    <w:rsid w:val="00031B05"/>
    <w:rsid w:val="00032367"/>
    <w:rsid w:val="00032382"/>
    <w:rsid w:val="000325A6"/>
    <w:rsid w:val="0003267C"/>
    <w:rsid w:val="0003272D"/>
    <w:rsid w:val="00032B82"/>
    <w:rsid w:val="000330AB"/>
    <w:rsid w:val="000334C4"/>
    <w:rsid w:val="0003377E"/>
    <w:rsid w:val="0003398E"/>
    <w:rsid w:val="00033E40"/>
    <w:rsid w:val="00034067"/>
    <w:rsid w:val="00034219"/>
    <w:rsid w:val="000342BF"/>
    <w:rsid w:val="0003436D"/>
    <w:rsid w:val="000345E0"/>
    <w:rsid w:val="00034607"/>
    <w:rsid w:val="00035114"/>
    <w:rsid w:val="000356F9"/>
    <w:rsid w:val="00035C2D"/>
    <w:rsid w:val="00035C7A"/>
    <w:rsid w:val="00035E6D"/>
    <w:rsid w:val="00035E96"/>
    <w:rsid w:val="000366E0"/>
    <w:rsid w:val="00036950"/>
    <w:rsid w:val="000373E6"/>
    <w:rsid w:val="000376C7"/>
    <w:rsid w:val="0003770C"/>
    <w:rsid w:val="00037ECA"/>
    <w:rsid w:val="00037ED2"/>
    <w:rsid w:val="0004005D"/>
    <w:rsid w:val="00040627"/>
    <w:rsid w:val="00040A5B"/>
    <w:rsid w:val="00040FE7"/>
    <w:rsid w:val="00041392"/>
    <w:rsid w:val="000415E6"/>
    <w:rsid w:val="00041707"/>
    <w:rsid w:val="00041951"/>
    <w:rsid w:val="00041C77"/>
    <w:rsid w:val="00041FE1"/>
    <w:rsid w:val="000423EF"/>
    <w:rsid w:val="0004262A"/>
    <w:rsid w:val="00042725"/>
    <w:rsid w:val="000427E4"/>
    <w:rsid w:val="000428D6"/>
    <w:rsid w:val="000428FB"/>
    <w:rsid w:val="00042949"/>
    <w:rsid w:val="00042E38"/>
    <w:rsid w:val="000430E0"/>
    <w:rsid w:val="00043229"/>
    <w:rsid w:val="000432EF"/>
    <w:rsid w:val="00043844"/>
    <w:rsid w:val="00043DAB"/>
    <w:rsid w:val="00043DC2"/>
    <w:rsid w:val="00043E3D"/>
    <w:rsid w:val="00044B04"/>
    <w:rsid w:val="00044BD6"/>
    <w:rsid w:val="00044E2E"/>
    <w:rsid w:val="000450EA"/>
    <w:rsid w:val="0004587E"/>
    <w:rsid w:val="00045A39"/>
    <w:rsid w:val="00045BFC"/>
    <w:rsid w:val="00045E03"/>
    <w:rsid w:val="00046254"/>
    <w:rsid w:val="000462DE"/>
    <w:rsid w:val="000462E6"/>
    <w:rsid w:val="00046353"/>
    <w:rsid w:val="0004636D"/>
    <w:rsid w:val="0004646E"/>
    <w:rsid w:val="00046789"/>
    <w:rsid w:val="000467F7"/>
    <w:rsid w:val="00046C84"/>
    <w:rsid w:val="00046F6B"/>
    <w:rsid w:val="00047074"/>
    <w:rsid w:val="00047206"/>
    <w:rsid w:val="000473E0"/>
    <w:rsid w:val="0004752D"/>
    <w:rsid w:val="000475AB"/>
    <w:rsid w:val="0004760B"/>
    <w:rsid w:val="00047789"/>
    <w:rsid w:val="000477CE"/>
    <w:rsid w:val="00047CE0"/>
    <w:rsid w:val="00047FEC"/>
    <w:rsid w:val="00050175"/>
    <w:rsid w:val="00050270"/>
    <w:rsid w:val="00050335"/>
    <w:rsid w:val="0005036D"/>
    <w:rsid w:val="0005039C"/>
    <w:rsid w:val="00050581"/>
    <w:rsid w:val="0005080F"/>
    <w:rsid w:val="00050F24"/>
    <w:rsid w:val="00051183"/>
    <w:rsid w:val="00051189"/>
    <w:rsid w:val="000515B0"/>
    <w:rsid w:val="00051BA8"/>
    <w:rsid w:val="00051F16"/>
    <w:rsid w:val="00052176"/>
    <w:rsid w:val="00052693"/>
    <w:rsid w:val="00052751"/>
    <w:rsid w:val="00052924"/>
    <w:rsid w:val="00052EC5"/>
    <w:rsid w:val="00052ED8"/>
    <w:rsid w:val="00052FB9"/>
    <w:rsid w:val="00053073"/>
    <w:rsid w:val="000532F0"/>
    <w:rsid w:val="000539A2"/>
    <w:rsid w:val="000539CB"/>
    <w:rsid w:val="00053EAC"/>
    <w:rsid w:val="00053F09"/>
    <w:rsid w:val="00053FD5"/>
    <w:rsid w:val="000540C4"/>
    <w:rsid w:val="000542D9"/>
    <w:rsid w:val="00054478"/>
    <w:rsid w:val="000549EB"/>
    <w:rsid w:val="00054A16"/>
    <w:rsid w:val="00054C92"/>
    <w:rsid w:val="00054EB8"/>
    <w:rsid w:val="00054F0A"/>
    <w:rsid w:val="000551A9"/>
    <w:rsid w:val="0005532C"/>
    <w:rsid w:val="0005572D"/>
    <w:rsid w:val="000557EC"/>
    <w:rsid w:val="00055D4E"/>
    <w:rsid w:val="00055E36"/>
    <w:rsid w:val="000561FA"/>
    <w:rsid w:val="000562D0"/>
    <w:rsid w:val="000567AC"/>
    <w:rsid w:val="00056BAE"/>
    <w:rsid w:val="00056EE0"/>
    <w:rsid w:val="00057687"/>
    <w:rsid w:val="00057825"/>
    <w:rsid w:val="00057C8D"/>
    <w:rsid w:val="00057D1E"/>
    <w:rsid w:val="00057D9C"/>
    <w:rsid w:val="00057F92"/>
    <w:rsid w:val="00060370"/>
    <w:rsid w:val="00060B02"/>
    <w:rsid w:val="00060B03"/>
    <w:rsid w:val="0006135F"/>
    <w:rsid w:val="000618CF"/>
    <w:rsid w:val="00061963"/>
    <w:rsid w:val="00061B7B"/>
    <w:rsid w:val="00061CD0"/>
    <w:rsid w:val="000625B8"/>
    <w:rsid w:val="000628C3"/>
    <w:rsid w:val="00062946"/>
    <w:rsid w:val="00062C20"/>
    <w:rsid w:val="00062C43"/>
    <w:rsid w:val="00062E58"/>
    <w:rsid w:val="00063171"/>
    <w:rsid w:val="000633F4"/>
    <w:rsid w:val="00063913"/>
    <w:rsid w:val="00063FF2"/>
    <w:rsid w:val="0006408C"/>
    <w:rsid w:val="000647BE"/>
    <w:rsid w:val="00064B32"/>
    <w:rsid w:val="00064BC6"/>
    <w:rsid w:val="00064C8A"/>
    <w:rsid w:val="00064F4B"/>
    <w:rsid w:val="00065089"/>
    <w:rsid w:val="000654B9"/>
    <w:rsid w:val="0006642D"/>
    <w:rsid w:val="00066544"/>
    <w:rsid w:val="00066C40"/>
    <w:rsid w:val="00066DAE"/>
    <w:rsid w:val="00067412"/>
    <w:rsid w:val="000674D2"/>
    <w:rsid w:val="00067648"/>
    <w:rsid w:val="00067B7D"/>
    <w:rsid w:val="0007004C"/>
    <w:rsid w:val="00070138"/>
    <w:rsid w:val="0007015E"/>
    <w:rsid w:val="00070389"/>
    <w:rsid w:val="000703E6"/>
    <w:rsid w:val="00070428"/>
    <w:rsid w:val="00070523"/>
    <w:rsid w:val="00070778"/>
    <w:rsid w:val="0007081B"/>
    <w:rsid w:val="00070E48"/>
    <w:rsid w:val="00070F16"/>
    <w:rsid w:val="00071099"/>
    <w:rsid w:val="000711A7"/>
    <w:rsid w:val="000712B3"/>
    <w:rsid w:val="000715EF"/>
    <w:rsid w:val="0007184E"/>
    <w:rsid w:val="00071B7F"/>
    <w:rsid w:val="00071C5B"/>
    <w:rsid w:val="00072169"/>
    <w:rsid w:val="000722F7"/>
    <w:rsid w:val="00072566"/>
    <w:rsid w:val="000728B6"/>
    <w:rsid w:val="00072A06"/>
    <w:rsid w:val="00072A25"/>
    <w:rsid w:val="00072B34"/>
    <w:rsid w:val="00072BF8"/>
    <w:rsid w:val="00072CA5"/>
    <w:rsid w:val="00072DF3"/>
    <w:rsid w:val="00072E05"/>
    <w:rsid w:val="00072E74"/>
    <w:rsid w:val="00073078"/>
    <w:rsid w:val="000732A9"/>
    <w:rsid w:val="000735DC"/>
    <w:rsid w:val="00073BD5"/>
    <w:rsid w:val="00073CF2"/>
    <w:rsid w:val="000740EC"/>
    <w:rsid w:val="00074627"/>
    <w:rsid w:val="000746ED"/>
    <w:rsid w:val="00074728"/>
    <w:rsid w:val="00074E5C"/>
    <w:rsid w:val="00075AD3"/>
    <w:rsid w:val="00075B95"/>
    <w:rsid w:val="00075CF4"/>
    <w:rsid w:val="00075E86"/>
    <w:rsid w:val="000761EF"/>
    <w:rsid w:val="000772D5"/>
    <w:rsid w:val="00077600"/>
    <w:rsid w:val="00077634"/>
    <w:rsid w:val="00077915"/>
    <w:rsid w:val="0007791D"/>
    <w:rsid w:val="00077933"/>
    <w:rsid w:val="00077CD8"/>
    <w:rsid w:val="000804F9"/>
    <w:rsid w:val="0008062A"/>
    <w:rsid w:val="000807AF"/>
    <w:rsid w:val="000807D7"/>
    <w:rsid w:val="00080816"/>
    <w:rsid w:val="00081327"/>
    <w:rsid w:val="0008134D"/>
    <w:rsid w:val="000816C1"/>
    <w:rsid w:val="000817FA"/>
    <w:rsid w:val="00081818"/>
    <w:rsid w:val="00081AA9"/>
    <w:rsid w:val="000820A0"/>
    <w:rsid w:val="00082377"/>
    <w:rsid w:val="00082B13"/>
    <w:rsid w:val="00083074"/>
    <w:rsid w:val="000830E0"/>
    <w:rsid w:val="000832FC"/>
    <w:rsid w:val="00083395"/>
    <w:rsid w:val="00083424"/>
    <w:rsid w:val="000837C7"/>
    <w:rsid w:val="0008417B"/>
    <w:rsid w:val="000842DA"/>
    <w:rsid w:val="00084309"/>
    <w:rsid w:val="00084A4C"/>
    <w:rsid w:val="00084AB2"/>
    <w:rsid w:val="00084CBD"/>
    <w:rsid w:val="00084DB9"/>
    <w:rsid w:val="00084F96"/>
    <w:rsid w:val="000850AA"/>
    <w:rsid w:val="000854E9"/>
    <w:rsid w:val="00085A85"/>
    <w:rsid w:val="00085EF0"/>
    <w:rsid w:val="00085FD8"/>
    <w:rsid w:val="00086529"/>
    <w:rsid w:val="00086822"/>
    <w:rsid w:val="0008692C"/>
    <w:rsid w:val="00086E88"/>
    <w:rsid w:val="0008741B"/>
    <w:rsid w:val="0008751E"/>
    <w:rsid w:val="00087D14"/>
    <w:rsid w:val="00087DFC"/>
    <w:rsid w:val="00087F14"/>
    <w:rsid w:val="000900E4"/>
    <w:rsid w:val="000902AB"/>
    <w:rsid w:val="00090560"/>
    <w:rsid w:val="00090644"/>
    <w:rsid w:val="000909A5"/>
    <w:rsid w:val="00090E6B"/>
    <w:rsid w:val="00090EFD"/>
    <w:rsid w:val="00090F70"/>
    <w:rsid w:val="00090FA0"/>
    <w:rsid w:val="00091386"/>
    <w:rsid w:val="000915DA"/>
    <w:rsid w:val="000918E0"/>
    <w:rsid w:val="00091975"/>
    <w:rsid w:val="000919C1"/>
    <w:rsid w:val="00091EA1"/>
    <w:rsid w:val="00091F44"/>
    <w:rsid w:val="00091FC8"/>
    <w:rsid w:val="00092A60"/>
    <w:rsid w:val="00092B39"/>
    <w:rsid w:val="00092BB5"/>
    <w:rsid w:val="00092D29"/>
    <w:rsid w:val="00092DE9"/>
    <w:rsid w:val="00092EC6"/>
    <w:rsid w:val="000930DD"/>
    <w:rsid w:val="00093137"/>
    <w:rsid w:val="00093790"/>
    <w:rsid w:val="00093850"/>
    <w:rsid w:val="000939AD"/>
    <w:rsid w:val="00093A98"/>
    <w:rsid w:val="00093AA8"/>
    <w:rsid w:val="00093C5E"/>
    <w:rsid w:val="00093FA2"/>
    <w:rsid w:val="00094063"/>
    <w:rsid w:val="000946E9"/>
    <w:rsid w:val="0009492A"/>
    <w:rsid w:val="00094A3B"/>
    <w:rsid w:val="00094C1D"/>
    <w:rsid w:val="00094F8E"/>
    <w:rsid w:val="000952F7"/>
    <w:rsid w:val="0009554E"/>
    <w:rsid w:val="0009593D"/>
    <w:rsid w:val="00095ED4"/>
    <w:rsid w:val="00096248"/>
    <w:rsid w:val="00097350"/>
    <w:rsid w:val="000975AC"/>
    <w:rsid w:val="00097721"/>
    <w:rsid w:val="000A0135"/>
    <w:rsid w:val="000A02F6"/>
    <w:rsid w:val="000A0358"/>
    <w:rsid w:val="000A0726"/>
    <w:rsid w:val="000A0E5C"/>
    <w:rsid w:val="000A17C7"/>
    <w:rsid w:val="000A1BE6"/>
    <w:rsid w:val="000A1E71"/>
    <w:rsid w:val="000A2222"/>
    <w:rsid w:val="000A2AD9"/>
    <w:rsid w:val="000A2CF6"/>
    <w:rsid w:val="000A2D09"/>
    <w:rsid w:val="000A2FC7"/>
    <w:rsid w:val="000A316A"/>
    <w:rsid w:val="000A31E9"/>
    <w:rsid w:val="000A3BEC"/>
    <w:rsid w:val="000A3E87"/>
    <w:rsid w:val="000A4180"/>
    <w:rsid w:val="000A4472"/>
    <w:rsid w:val="000A47CF"/>
    <w:rsid w:val="000A4983"/>
    <w:rsid w:val="000A4CA3"/>
    <w:rsid w:val="000A4CFC"/>
    <w:rsid w:val="000A50D5"/>
    <w:rsid w:val="000A530C"/>
    <w:rsid w:val="000A5406"/>
    <w:rsid w:val="000A5832"/>
    <w:rsid w:val="000A5894"/>
    <w:rsid w:val="000A5989"/>
    <w:rsid w:val="000A5B45"/>
    <w:rsid w:val="000A5B4F"/>
    <w:rsid w:val="000A5D00"/>
    <w:rsid w:val="000A5EB9"/>
    <w:rsid w:val="000A5F81"/>
    <w:rsid w:val="000A601A"/>
    <w:rsid w:val="000A62EE"/>
    <w:rsid w:val="000A6E25"/>
    <w:rsid w:val="000A6E49"/>
    <w:rsid w:val="000A6FA4"/>
    <w:rsid w:val="000A70A5"/>
    <w:rsid w:val="000A7108"/>
    <w:rsid w:val="000A7DAD"/>
    <w:rsid w:val="000A7DC4"/>
    <w:rsid w:val="000A7F91"/>
    <w:rsid w:val="000B05E2"/>
    <w:rsid w:val="000B061F"/>
    <w:rsid w:val="000B0D93"/>
    <w:rsid w:val="000B0F5F"/>
    <w:rsid w:val="000B15B5"/>
    <w:rsid w:val="000B16D5"/>
    <w:rsid w:val="000B19D5"/>
    <w:rsid w:val="000B1DCF"/>
    <w:rsid w:val="000B1E2F"/>
    <w:rsid w:val="000B2156"/>
    <w:rsid w:val="000B26D7"/>
    <w:rsid w:val="000B27BD"/>
    <w:rsid w:val="000B2B6E"/>
    <w:rsid w:val="000B3827"/>
    <w:rsid w:val="000B3839"/>
    <w:rsid w:val="000B3865"/>
    <w:rsid w:val="000B3DB3"/>
    <w:rsid w:val="000B4520"/>
    <w:rsid w:val="000B4689"/>
    <w:rsid w:val="000B4857"/>
    <w:rsid w:val="000B4B5A"/>
    <w:rsid w:val="000B50ED"/>
    <w:rsid w:val="000B51A5"/>
    <w:rsid w:val="000B56B6"/>
    <w:rsid w:val="000B5708"/>
    <w:rsid w:val="000B59D4"/>
    <w:rsid w:val="000B5FE3"/>
    <w:rsid w:val="000B6333"/>
    <w:rsid w:val="000B64E1"/>
    <w:rsid w:val="000B687F"/>
    <w:rsid w:val="000B6C06"/>
    <w:rsid w:val="000B6CE7"/>
    <w:rsid w:val="000B6E0C"/>
    <w:rsid w:val="000B6EB6"/>
    <w:rsid w:val="000B7B66"/>
    <w:rsid w:val="000B7C6B"/>
    <w:rsid w:val="000B7F16"/>
    <w:rsid w:val="000C0133"/>
    <w:rsid w:val="000C0491"/>
    <w:rsid w:val="000C04C9"/>
    <w:rsid w:val="000C0508"/>
    <w:rsid w:val="000C05CB"/>
    <w:rsid w:val="000C08C6"/>
    <w:rsid w:val="000C0AF2"/>
    <w:rsid w:val="000C1348"/>
    <w:rsid w:val="000C1359"/>
    <w:rsid w:val="000C135C"/>
    <w:rsid w:val="000C176E"/>
    <w:rsid w:val="000C1BE7"/>
    <w:rsid w:val="000C1CD5"/>
    <w:rsid w:val="000C1E69"/>
    <w:rsid w:val="000C236A"/>
    <w:rsid w:val="000C27F8"/>
    <w:rsid w:val="000C2DAB"/>
    <w:rsid w:val="000C32CA"/>
    <w:rsid w:val="000C3680"/>
    <w:rsid w:val="000C392E"/>
    <w:rsid w:val="000C3B4C"/>
    <w:rsid w:val="000C3E78"/>
    <w:rsid w:val="000C4434"/>
    <w:rsid w:val="000C4564"/>
    <w:rsid w:val="000C45D1"/>
    <w:rsid w:val="000C477B"/>
    <w:rsid w:val="000C4785"/>
    <w:rsid w:val="000C49A6"/>
    <w:rsid w:val="000C49EC"/>
    <w:rsid w:val="000C4BA9"/>
    <w:rsid w:val="000C4BF0"/>
    <w:rsid w:val="000C4D71"/>
    <w:rsid w:val="000C4DD6"/>
    <w:rsid w:val="000C4E66"/>
    <w:rsid w:val="000C5428"/>
    <w:rsid w:val="000C544F"/>
    <w:rsid w:val="000C5837"/>
    <w:rsid w:val="000C5F7B"/>
    <w:rsid w:val="000C5FF2"/>
    <w:rsid w:val="000C621F"/>
    <w:rsid w:val="000C63BC"/>
    <w:rsid w:val="000C63EC"/>
    <w:rsid w:val="000C6797"/>
    <w:rsid w:val="000C6ACE"/>
    <w:rsid w:val="000C6C43"/>
    <w:rsid w:val="000C6FDC"/>
    <w:rsid w:val="000C6FED"/>
    <w:rsid w:val="000C707F"/>
    <w:rsid w:val="000C7164"/>
    <w:rsid w:val="000C74F0"/>
    <w:rsid w:val="000C75C5"/>
    <w:rsid w:val="000C7763"/>
    <w:rsid w:val="000C7ABD"/>
    <w:rsid w:val="000C7D18"/>
    <w:rsid w:val="000D0243"/>
    <w:rsid w:val="000D0C59"/>
    <w:rsid w:val="000D0C7D"/>
    <w:rsid w:val="000D0EFE"/>
    <w:rsid w:val="000D11FA"/>
    <w:rsid w:val="000D14EB"/>
    <w:rsid w:val="000D181B"/>
    <w:rsid w:val="000D1C8A"/>
    <w:rsid w:val="000D20D5"/>
    <w:rsid w:val="000D2228"/>
    <w:rsid w:val="000D23B5"/>
    <w:rsid w:val="000D2B79"/>
    <w:rsid w:val="000D2D87"/>
    <w:rsid w:val="000D2FDB"/>
    <w:rsid w:val="000D3251"/>
    <w:rsid w:val="000D348A"/>
    <w:rsid w:val="000D3562"/>
    <w:rsid w:val="000D397A"/>
    <w:rsid w:val="000D3B58"/>
    <w:rsid w:val="000D3EB9"/>
    <w:rsid w:val="000D4057"/>
    <w:rsid w:val="000D4355"/>
    <w:rsid w:val="000D4904"/>
    <w:rsid w:val="000D4DE4"/>
    <w:rsid w:val="000D4F31"/>
    <w:rsid w:val="000D5AEF"/>
    <w:rsid w:val="000D6154"/>
    <w:rsid w:val="000D6532"/>
    <w:rsid w:val="000D6685"/>
    <w:rsid w:val="000D6855"/>
    <w:rsid w:val="000D76EB"/>
    <w:rsid w:val="000D7FED"/>
    <w:rsid w:val="000E07AF"/>
    <w:rsid w:val="000E0825"/>
    <w:rsid w:val="000E0B03"/>
    <w:rsid w:val="000E1184"/>
    <w:rsid w:val="000E132F"/>
    <w:rsid w:val="000E140B"/>
    <w:rsid w:val="000E1914"/>
    <w:rsid w:val="000E19C1"/>
    <w:rsid w:val="000E1CA9"/>
    <w:rsid w:val="000E1DA1"/>
    <w:rsid w:val="000E1F5A"/>
    <w:rsid w:val="000E239C"/>
    <w:rsid w:val="000E2425"/>
    <w:rsid w:val="000E28B5"/>
    <w:rsid w:val="000E2C00"/>
    <w:rsid w:val="000E2CE3"/>
    <w:rsid w:val="000E2DA3"/>
    <w:rsid w:val="000E32F8"/>
    <w:rsid w:val="000E36BB"/>
    <w:rsid w:val="000E3933"/>
    <w:rsid w:val="000E3A13"/>
    <w:rsid w:val="000E3C11"/>
    <w:rsid w:val="000E3E57"/>
    <w:rsid w:val="000E486B"/>
    <w:rsid w:val="000E496C"/>
    <w:rsid w:val="000E4B50"/>
    <w:rsid w:val="000E4E0B"/>
    <w:rsid w:val="000E4E3D"/>
    <w:rsid w:val="000E4EA7"/>
    <w:rsid w:val="000E5059"/>
    <w:rsid w:val="000E5101"/>
    <w:rsid w:val="000E51AF"/>
    <w:rsid w:val="000E5592"/>
    <w:rsid w:val="000E5A33"/>
    <w:rsid w:val="000E5CF2"/>
    <w:rsid w:val="000E5FCE"/>
    <w:rsid w:val="000E64FB"/>
    <w:rsid w:val="000E6500"/>
    <w:rsid w:val="000E6624"/>
    <w:rsid w:val="000E6CC9"/>
    <w:rsid w:val="000E6FE8"/>
    <w:rsid w:val="000E711C"/>
    <w:rsid w:val="000E7162"/>
    <w:rsid w:val="000E7226"/>
    <w:rsid w:val="000E7547"/>
    <w:rsid w:val="000E7934"/>
    <w:rsid w:val="000E7A16"/>
    <w:rsid w:val="000E7D7D"/>
    <w:rsid w:val="000E7E01"/>
    <w:rsid w:val="000F0368"/>
    <w:rsid w:val="000F0715"/>
    <w:rsid w:val="000F0801"/>
    <w:rsid w:val="000F082F"/>
    <w:rsid w:val="000F0A59"/>
    <w:rsid w:val="000F1117"/>
    <w:rsid w:val="000F1148"/>
    <w:rsid w:val="000F164C"/>
    <w:rsid w:val="000F1A71"/>
    <w:rsid w:val="000F1C82"/>
    <w:rsid w:val="000F1DC5"/>
    <w:rsid w:val="000F1DE6"/>
    <w:rsid w:val="000F1E2D"/>
    <w:rsid w:val="000F2311"/>
    <w:rsid w:val="000F26A9"/>
    <w:rsid w:val="000F27BF"/>
    <w:rsid w:val="000F2940"/>
    <w:rsid w:val="000F2B12"/>
    <w:rsid w:val="000F35CF"/>
    <w:rsid w:val="000F374E"/>
    <w:rsid w:val="000F3772"/>
    <w:rsid w:val="000F3B97"/>
    <w:rsid w:val="000F4338"/>
    <w:rsid w:val="000F49EA"/>
    <w:rsid w:val="000F4B4D"/>
    <w:rsid w:val="000F502E"/>
    <w:rsid w:val="000F52A2"/>
    <w:rsid w:val="000F55B1"/>
    <w:rsid w:val="000F5688"/>
    <w:rsid w:val="000F5997"/>
    <w:rsid w:val="000F5E97"/>
    <w:rsid w:val="000F5EAD"/>
    <w:rsid w:val="000F6482"/>
    <w:rsid w:val="000F66DF"/>
    <w:rsid w:val="000F674C"/>
    <w:rsid w:val="000F687A"/>
    <w:rsid w:val="000F6DA3"/>
    <w:rsid w:val="000F7223"/>
    <w:rsid w:val="000F727D"/>
    <w:rsid w:val="000F748B"/>
    <w:rsid w:val="000F79C9"/>
    <w:rsid w:val="000F7AD5"/>
    <w:rsid w:val="00100356"/>
    <w:rsid w:val="001004B5"/>
    <w:rsid w:val="001005E9"/>
    <w:rsid w:val="001008BB"/>
    <w:rsid w:val="001008D7"/>
    <w:rsid w:val="001009E5"/>
    <w:rsid w:val="00100AF2"/>
    <w:rsid w:val="0010101D"/>
    <w:rsid w:val="00101062"/>
    <w:rsid w:val="00101CFD"/>
    <w:rsid w:val="00101FEF"/>
    <w:rsid w:val="0010273E"/>
    <w:rsid w:val="001027DB"/>
    <w:rsid w:val="00102AF4"/>
    <w:rsid w:val="00102B2C"/>
    <w:rsid w:val="00102E93"/>
    <w:rsid w:val="00103061"/>
    <w:rsid w:val="001032CD"/>
    <w:rsid w:val="00103BBF"/>
    <w:rsid w:val="00104421"/>
    <w:rsid w:val="0010446D"/>
    <w:rsid w:val="0010464A"/>
    <w:rsid w:val="0010468F"/>
    <w:rsid w:val="001048FB"/>
    <w:rsid w:val="00104BBD"/>
    <w:rsid w:val="00104D4F"/>
    <w:rsid w:val="0010565D"/>
    <w:rsid w:val="00105935"/>
    <w:rsid w:val="001059A8"/>
    <w:rsid w:val="00105A74"/>
    <w:rsid w:val="00106068"/>
    <w:rsid w:val="00106676"/>
    <w:rsid w:val="001066FE"/>
    <w:rsid w:val="001067A5"/>
    <w:rsid w:val="00106AA2"/>
    <w:rsid w:val="00106ABF"/>
    <w:rsid w:val="00106B37"/>
    <w:rsid w:val="00106D27"/>
    <w:rsid w:val="00107149"/>
    <w:rsid w:val="00107297"/>
    <w:rsid w:val="00107410"/>
    <w:rsid w:val="001079E4"/>
    <w:rsid w:val="00107BCA"/>
    <w:rsid w:val="00107DF2"/>
    <w:rsid w:val="00107F59"/>
    <w:rsid w:val="001101DB"/>
    <w:rsid w:val="001105C0"/>
    <w:rsid w:val="0011070B"/>
    <w:rsid w:val="00110AE7"/>
    <w:rsid w:val="00110C43"/>
    <w:rsid w:val="00110D3B"/>
    <w:rsid w:val="00110EED"/>
    <w:rsid w:val="00110FB6"/>
    <w:rsid w:val="0011139A"/>
    <w:rsid w:val="00111527"/>
    <w:rsid w:val="001118B3"/>
    <w:rsid w:val="001119CF"/>
    <w:rsid w:val="0011206A"/>
    <w:rsid w:val="001121C6"/>
    <w:rsid w:val="001123C1"/>
    <w:rsid w:val="001124B2"/>
    <w:rsid w:val="00112664"/>
    <w:rsid w:val="0011289F"/>
    <w:rsid w:val="00112EB1"/>
    <w:rsid w:val="00113692"/>
    <w:rsid w:val="001138B6"/>
    <w:rsid w:val="001138B9"/>
    <w:rsid w:val="00113C3B"/>
    <w:rsid w:val="00113CD4"/>
    <w:rsid w:val="00113E4B"/>
    <w:rsid w:val="001141E0"/>
    <w:rsid w:val="001143CF"/>
    <w:rsid w:val="00114A89"/>
    <w:rsid w:val="00114AAC"/>
    <w:rsid w:val="00114CC1"/>
    <w:rsid w:val="00114FCC"/>
    <w:rsid w:val="00115081"/>
    <w:rsid w:val="0011579E"/>
    <w:rsid w:val="00115FB8"/>
    <w:rsid w:val="001165BE"/>
    <w:rsid w:val="00116783"/>
    <w:rsid w:val="00116C2D"/>
    <w:rsid w:val="00116F10"/>
    <w:rsid w:val="00116F6F"/>
    <w:rsid w:val="00117442"/>
    <w:rsid w:val="001179DC"/>
    <w:rsid w:val="00117E2D"/>
    <w:rsid w:val="00117F8A"/>
    <w:rsid w:val="00117FF2"/>
    <w:rsid w:val="00120042"/>
    <w:rsid w:val="001201FE"/>
    <w:rsid w:val="001203DB"/>
    <w:rsid w:val="00120A75"/>
    <w:rsid w:val="00120ADD"/>
    <w:rsid w:val="00120C25"/>
    <w:rsid w:val="00120E69"/>
    <w:rsid w:val="00120F35"/>
    <w:rsid w:val="0012108D"/>
    <w:rsid w:val="0012109B"/>
    <w:rsid w:val="0012182A"/>
    <w:rsid w:val="0012188E"/>
    <w:rsid w:val="00121BF1"/>
    <w:rsid w:val="00121D08"/>
    <w:rsid w:val="00121DE4"/>
    <w:rsid w:val="00121EF1"/>
    <w:rsid w:val="0012251C"/>
    <w:rsid w:val="00122856"/>
    <w:rsid w:val="001228B6"/>
    <w:rsid w:val="00122983"/>
    <w:rsid w:val="00122D79"/>
    <w:rsid w:val="00122E22"/>
    <w:rsid w:val="0012384C"/>
    <w:rsid w:val="00123B8C"/>
    <w:rsid w:val="00123C6B"/>
    <w:rsid w:val="00123F80"/>
    <w:rsid w:val="00124173"/>
    <w:rsid w:val="001247FC"/>
    <w:rsid w:val="0012480F"/>
    <w:rsid w:val="0012533E"/>
    <w:rsid w:val="0012568B"/>
    <w:rsid w:val="0012577C"/>
    <w:rsid w:val="00125BEE"/>
    <w:rsid w:val="00125E06"/>
    <w:rsid w:val="00125FE2"/>
    <w:rsid w:val="00126453"/>
    <w:rsid w:val="00126562"/>
    <w:rsid w:val="001265FD"/>
    <w:rsid w:val="00126AD3"/>
    <w:rsid w:val="00126AE3"/>
    <w:rsid w:val="00126E3B"/>
    <w:rsid w:val="00126FA0"/>
    <w:rsid w:val="00127000"/>
    <w:rsid w:val="00127262"/>
    <w:rsid w:val="00127454"/>
    <w:rsid w:val="001275B3"/>
    <w:rsid w:val="00127AAC"/>
    <w:rsid w:val="00127AB2"/>
    <w:rsid w:val="00130008"/>
    <w:rsid w:val="00130777"/>
    <w:rsid w:val="00130836"/>
    <w:rsid w:val="00130D33"/>
    <w:rsid w:val="00130D70"/>
    <w:rsid w:val="00130E1F"/>
    <w:rsid w:val="00130F10"/>
    <w:rsid w:val="00131101"/>
    <w:rsid w:val="001317D3"/>
    <w:rsid w:val="00131A86"/>
    <w:rsid w:val="00131B93"/>
    <w:rsid w:val="00131F21"/>
    <w:rsid w:val="0013215E"/>
    <w:rsid w:val="00132354"/>
    <w:rsid w:val="00132412"/>
    <w:rsid w:val="0013260D"/>
    <w:rsid w:val="00132B29"/>
    <w:rsid w:val="00132C8F"/>
    <w:rsid w:val="00132D0C"/>
    <w:rsid w:val="00132EAE"/>
    <w:rsid w:val="001331A5"/>
    <w:rsid w:val="00133207"/>
    <w:rsid w:val="00133295"/>
    <w:rsid w:val="001332B7"/>
    <w:rsid w:val="0013332C"/>
    <w:rsid w:val="001339CF"/>
    <w:rsid w:val="00133E3B"/>
    <w:rsid w:val="0013442B"/>
    <w:rsid w:val="001345ED"/>
    <w:rsid w:val="00134733"/>
    <w:rsid w:val="00134823"/>
    <w:rsid w:val="00134A0F"/>
    <w:rsid w:val="00134AF1"/>
    <w:rsid w:val="00135456"/>
    <w:rsid w:val="001357BC"/>
    <w:rsid w:val="001359AF"/>
    <w:rsid w:val="00136038"/>
    <w:rsid w:val="00136372"/>
    <w:rsid w:val="0013671F"/>
    <w:rsid w:val="0013674B"/>
    <w:rsid w:val="00136889"/>
    <w:rsid w:val="00136AC7"/>
    <w:rsid w:val="00136B75"/>
    <w:rsid w:val="00136FBA"/>
    <w:rsid w:val="0013715E"/>
    <w:rsid w:val="001375E9"/>
    <w:rsid w:val="00137614"/>
    <w:rsid w:val="00137B2D"/>
    <w:rsid w:val="00137EC3"/>
    <w:rsid w:val="00140004"/>
    <w:rsid w:val="001404DB"/>
    <w:rsid w:val="00140934"/>
    <w:rsid w:val="00140944"/>
    <w:rsid w:val="00140D48"/>
    <w:rsid w:val="00140EDD"/>
    <w:rsid w:val="0014118F"/>
    <w:rsid w:val="0014124C"/>
    <w:rsid w:val="00141290"/>
    <w:rsid w:val="001412BC"/>
    <w:rsid w:val="00141566"/>
    <w:rsid w:val="00141757"/>
    <w:rsid w:val="00141CBF"/>
    <w:rsid w:val="00141D00"/>
    <w:rsid w:val="00141FE7"/>
    <w:rsid w:val="00142460"/>
    <w:rsid w:val="00142755"/>
    <w:rsid w:val="00142767"/>
    <w:rsid w:val="00142ACE"/>
    <w:rsid w:val="00142E8C"/>
    <w:rsid w:val="001430EF"/>
    <w:rsid w:val="00143174"/>
    <w:rsid w:val="00143705"/>
    <w:rsid w:val="001439CE"/>
    <w:rsid w:val="0014402B"/>
    <w:rsid w:val="001447D6"/>
    <w:rsid w:val="00144AED"/>
    <w:rsid w:val="00144CCD"/>
    <w:rsid w:val="00144F04"/>
    <w:rsid w:val="00144F3F"/>
    <w:rsid w:val="00144F6B"/>
    <w:rsid w:val="001453BF"/>
    <w:rsid w:val="00145E96"/>
    <w:rsid w:val="00146A13"/>
    <w:rsid w:val="00146AAE"/>
    <w:rsid w:val="00146D27"/>
    <w:rsid w:val="0014703C"/>
    <w:rsid w:val="001470CF"/>
    <w:rsid w:val="00147520"/>
    <w:rsid w:val="00147605"/>
    <w:rsid w:val="00147607"/>
    <w:rsid w:val="0014761F"/>
    <w:rsid w:val="0014780E"/>
    <w:rsid w:val="001478BC"/>
    <w:rsid w:val="00147E2F"/>
    <w:rsid w:val="00150152"/>
    <w:rsid w:val="00150580"/>
    <w:rsid w:val="00150587"/>
    <w:rsid w:val="001506D9"/>
    <w:rsid w:val="001508AA"/>
    <w:rsid w:val="00150960"/>
    <w:rsid w:val="00150963"/>
    <w:rsid w:val="00150B01"/>
    <w:rsid w:val="00150FDD"/>
    <w:rsid w:val="001511BE"/>
    <w:rsid w:val="0015138B"/>
    <w:rsid w:val="00151819"/>
    <w:rsid w:val="00151885"/>
    <w:rsid w:val="0015195E"/>
    <w:rsid w:val="00151DD7"/>
    <w:rsid w:val="00151E0D"/>
    <w:rsid w:val="0015264A"/>
    <w:rsid w:val="001526C8"/>
    <w:rsid w:val="00152ACB"/>
    <w:rsid w:val="00152EB3"/>
    <w:rsid w:val="00152F4E"/>
    <w:rsid w:val="001530D8"/>
    <w:rsid w:val="00153301"/>
    <w:rsid w:val="00153351"/>
    <w:rsid w:val="001539F3"/>
    <w:rsid w:val="00153C7A"/>
    <w:rsid w:val="00153CAB"/>
    <w:rsid w:val="00153DB9"/>
    <w:rsid w:val="00154081"/>
    <w:rsid w:val="00154556"/>
    <w:rsid w:val="00154675"/>
    <w:rsid w:val="00154902"/>
    <w:rsid w:val="00154C0C"/>
    <w:rsid w:val="0015550D"/>
    <w:rsid w:val="00155E4B"/>
    <w:rsid w:val="00155F6F"/>
    <w:rsid w:val="0015667B"/>
    <w:rsid w:val="001566FE"/>
    <w:rsid w:val="001568F3"/>
    <w:rsid w:val="001569E9"/>
    <w:rsid w:val="00157067"/>
    <w:rsid w:val="0015740B"/>
    <w:rsid w:val="00157657"/>
    <w:rsid w:val="00157BA0"/>
    <w:rsid w:val="00160525"/>
    <w:rsid w:val="001607A7"/>
    <w:rsid w:val="0016121B"/>
    <w:rsid w:val="00161592"/>
    <w:rsid w:val="001616A8"/>
    <w:rsid w:val="00161866"/>
    <w:rsid w:val="00161AAF"/>
    <w:rsid w:val="00161C33"/>
    <w:rsid w:val="001626F6"/>
    <w:rsid w:val="001628B8"/>
    <w:rsid w:val="001628DC"/>
    <w:rsid w:val="001629F5"/>
    <w:rsid w:val="00162CE8"/>
    <w:rsid w:val="00162EDD"/>
    <w:rsid w:val="00162FF7"/>
    <w:rsid w:val="001632D2"/>
    <w:rsid w:val="00163583"/>
    <w:rsid w:val="001635BF"/>
    <w:rsid w:val="001639D9"/>
    <w:rsid w:val="001639E2"/>
    <w:rsid w:val="00163A81"/>
    <w:rsid w:val="00163BD0"/>
    <w:rsid w:val="00163F13"/>
    <w:rsid w:val="001644D7"/>
    <w:rsid w:val="00164704"/>
    <w:rsid w:val="0016481D"/>
    <w:rsid w:val="001651C1"/>
    <w:rsid w:val="00165294"/>
    <w:rsid w:val="001661E0"/>
    <w:rsid w:val="0016633F"/>
    <w:rsid w:val="001664E2"/>
    <w:rsid w:val="0016665C"/>
    <w:rsid w:val="00166AE3"/>
    <w:rsid w:val="00166BEC"/>
    <w:rsid w:val="00166F45"/>
    <w:rsid w:val="00167132"/>
    <w:rsid w:val="00167A37"/>
    <w:rsid w:val="00167C1E"/>
    <w:rsid w:val="001700B4"/>
    <w:rsid w:val="001702B9"/>
    <w:rsid w:val="00170360"/>
    <w:rsid w:val="00170463"/>
    <w:rsid w:val="001704D6"/>
    <w:rsid w:val="001705BB"/>
    <w:rsid w:val="001709C0"/>
    <w:rsid w:val="00170BD1"/>
    <w:rsid w:val="00171173"/>
    <w:rsid w:val="001713B0"/>
    <w:rsid w:val="00171529"/>
    <w:rsid w:val="0017182A"/>
    <w:rsid w:val="00171A31"/>
    <w:rsid w:val="00171FB5"/>
    <w:rsid w:val="001721E7"/>
    <w:rsid w:val="00172E3D"/>
    <w:rsid w:val="00172FBD"/>
    <w:rsid w:val="00173059"/>
    <w:rsid w:val="0017357F"/>
    <w:rsid w:val="00173744"/>
    <w:rsid w:val="00173F00"/>
    <w:rsid w:val="00174863"/>
    <w:rsid w:val="00174A6E"/>
    <w:rsid w:val="00174B08"/>
    <w:rsid w:val="00174D35"/>
    <w:rsid w:val="00175558"/>
    <w:rsid w:val="00175A58"/>
    <w:rsid w:val="00175A81"/>
    <w:rsid w:val="00175E38"/>
    <w:rsid w:val="00175E47"/>
    <w:rsid w:val="00175ED1"/>
    <w:rsid w:val="00175F84"/>
    <w:rsid w:val="00176046"/>
    <w:rsid w:val="0017607B"/>
    <w:rsid w:val="001763AB"/>
    <w:rsid w:val="00176592"/>
    <w:rsid w:val="00176685"/>
    <w:rsid w:val="00176B12"/>
    <w:rsid w:val="00176D37"/>
    <w:rsid w:val="00176EFC"/>
    <w:rsid w:val="00177003"/>
    <w:rsid w:val="00177194"/>
    <w:rsid w:val="00177240"/>
    <w:rsid w:val="00177349"/>
    <w:rsid w:val="0017772F"/>
    <w:rsid w:val="00177A07"/>
    <w:rsid w:val="00177B46"/>
    <w:rsid w:val="00177C7E"/>
    <w:rsid w:val="00177D59"/>
    <w:rsid w:val="001807D1"/>
    <w:rsid w:val="00180ADE"/>
    <w:rsid w:val="00181066"/>
    <w:rsid w:val="001815E8"/>
    <w:rsid w:val="00181889"/>
    <w:rsid w:val="00181C98"/>
    <w:rsid w:val="00181E37"/>
    <w:rsid w:val="00181FF6"/>
    <w:rsid w:val="00182753"/>
    <w:rsid w:val="00182872"/>
    <w:rsid w:val="00182935"/>
    <w:rsid w:val="00182ABC"/>
    <w:rsid w:val="001830A2"/>
    <w:rsid w:val="0018350D"/>
    <w:rsid w:val="00183562"/>
    <w:rsid w:val="00183DD4"/>
    <w:rsid w:val="00183E9D"/>
    <w:rsid w:val="001840DD"/>
    <w:rsid w:val="001843C0"/>
    <w:rsid w:val="00184599"/>
    <w:rsid w:val="001845D8"/>
    <w:rsid w:val="001845F2"/>
    <w:rsid w:val="0018496B"/>
    <w:rsid w:val="00184AAE"/>
    <w:rsid w:val="00185010"/>
    <w:rsid w:val="001856CC"/>
    <w:rsid w:val="00185806"/>
    <w:rsid w:val="00185828"/>
    <w:rsid w:val="00185A95"/>
    <w:rsid w:val="00185B56"/>
    <w:rsid w:val="00185CD4"/>
    <w:rsid w:val="00185E2B"/>
    <w:rsid w:val="00186149"/>
    <w:rsid w:val="001863A6"/>
    <w:rsid w:val="001869C2"/>
    <w:rsid w:val="00186B15"/>
    <w:rsid w:val="00186B8B"/>
    <w:rsid w:val="00186B99"/>
    <w:rsid w:val="00186C76"/>
    <w:rsid w:val="00186F25"/>
    <w:rsid w:val="001875AC"/>
    <w:rsid w:val="00187BDB"/>
    <w:rsid w:val="00187E44"/>
    <w:rsid w:val="00187ED0"/>
    <w:rsid w:val="00187F51"/>
    <w:rsid w:val="00190041"/>
    <w:rsid w:val="0019006E"/>
    <w:rsid w:val="00190108"/>
    <w:rsid w:val="00190141"/>
    <w:rsid w:val="001904E4"/>
    <w:rsid w:val="0019059F"/>
    <w:rsid w:val="0019102F"/>
    <w:rsid w:val="001913CE"/>
    <w:rsid w:val="0019168E"/>
    <w:rsid w:val="00191723"/>
    <w:rsid w:val="00191AC4"/>
    <w:rsid w:val="00191B1D"/>
    <w:rsid w:val="00191C3E"/>
    <w:rsid w:val="00191E32"/>
    <w:rsid w:val="0019239C"/>
    <w:rsid w:val="00192611"/>
    <w:rsid w:val="00192CE8"/>
    <w:rsid w:val="00192DB1"/>
    <w:rsid w:val="00192DC8"/>
    <w:rsid w:val="00192DF5"/>
    <w:rsid w:val="00192E18"/>
    <w:rsid w:val="00192FFE"/>
    <w:rsid w:val="00193452"/>
    <w:rsid w:val="00193701"/>
    <w:rsid w:val="00193865"/>
    <w:rsid w:val="00193C06"/>
    <w:rsid w:val="00193D04"/>
    <w:rsid w:val="00193EC4"/>
    <w:rsid w:val="00193FDF"/>
    <w:rsid w:val="0019430F"/>
    <w:rsid w:val="001944AE"/>
    <w:rsid w:val="00194846"/>
    <w:rsid w:val="00194C14"/>
    <w:rsid w:val="00195049"/>
    <w:rsid w:val="001955A7"/>
    <w:rsid w:val="001957FA"/>
    <w:rsid w:val="00195AA6"/>
    <w:rsid w:val="00195C21"/>
    <w:rsid w:val="00195F73"/>
    <w:rsid w:val="001961F1"/>
    <w:rsid w:val="00196A39"/>
    <w:rsid w:val="00196B06"/>
    <w:rsid w:val="00196D8C"/>
    <w:rsid w:val="00196ED8"/>
    <w:rsid w:val="0019712A"/>
    <w:rsid w:val="00197232"/>
    <w:rsid w:val="0019727D"/>
    <w:rsid w:val="0019735F"/>
    <w:rsid w:val="00197F7E"/>
    <w:rsid w:val="001A002E"/>
    <w:rsid w:val="001A02D9"/>
    <w:rsid w:val="001A09FA"/>
    <w:rsid w:val="001A0F61"/>
    <w:rsid w:val="001A146A"/>
    <w:rsid w:val="001A1C3A"/>
    <w:rsid w:val="001A1DE6"/>
    <w:rsid w:val="001A21FA"/>
    <w:rsid w:val="001A2313"/>
    <w:rsid w:val="001A24BD"/>
    <w:rsid w:val="001A2E81"/>
    <w:rsid w:val="001A2EAE"/>
    <w:rsid w:val="001A2ED9"/>
    <w:rsid w:val="001A3169"/>
    <w:rsid w:val="001A3775"/>
    <w:rsid w:val="001A37A6"/>
    <w:rsid w:val="001A3BCF"/>
    <w:rsid w:val="001A3E06"/>
    <w:rsid w:val="001A3E3C"/>
    <w:rsid w:val="001A3F7F"/>
    <w:rsid w:val="001A4329"/>
    <w:rsid w:val="001A4440"/>
    <w:rsid w:val="001A4473"/>
    <w:rsid w:val="001A45C0"/>
    <w:rsid w:val="001A46CB"/>
    <w:rsid w:val="001A46DB"/>
    <w:rsid w:val="001A4FD7"/>
    <w:rsid w:val="001A5022"/>
    <w:rsid w:val="001A5095"/>
    <w:rsid w:val="001A571F"/>
    <w:rsid w:val="001A6DA8"/>
    <w:rsid w:val="001A7095"/>
    <w:rsid w:val="001A70C4"/>
    <w:rsid w:val="001A720E"/>
    <w:rsid w:val="001A7775"/>
    <w:rsid w:val="001A7910"/>
    <w:rsid w:val="001A79B8"/>
    <w:rsid w:val="001A79C4"/>
    <w:rsid w:val="001A7A63"/>
    <w:rsid w:val="001B0762"/>
    <w:rsid w:val="001B0937"/>
    <w:rsid w:val="001B0994"/>
    <w:rsid w:val="001B0BAC"/>
    <w:rsid w:val="001B0D5E"/>
    <w:rsid w:val="001B0FAD"/>
    <w:rsid w:val="001B10DB"/>
    <w:rsid w:val="001B1AA4"/>
    <w:rsid w:val="001B1FE6"/>
    <w:rsid w:val="001B2916"/>
    <w:rsid w:val="001B2D40"/>
    <w:rsid w:val="001B2DC5"/>
    <w:rsid w:val="001B2F9E"/>
    <w:rsid w:val="001B2FEA"/>
    <w:rsid w:val="001B301F"/>
    <w:rsid w:val="001B32B9"/>
    <w:rsid w:val="001B36F5"/>
    <w:rsid w:val="001B3762"/>
    <w:rsid w:val="001B393F"/>
    <w:rsid w:val="001B3DD5"/>
    <w:rsid w:val="001B3F2F"/>
    <w:rsid w:val="001B4076"/>
    <w:rsid w:val="001B46A0"/>
    <w:rsid w:val="001B49C8"/>
    <w:rsid w:val="001B4EE3"/>
    <w:rsid w:val="001B4F42"/>
    <w:rsid w:val="001B4FDB"/>
    <w:rsid w:val="001B51EC"/>
    <w:rsid w:val="001B5382"/>
    <w:rsid w:val="001B5AAA"/>
    <w:rsid w:val="001B5EC5"/>
    <w:rsid w:val="001B60B1"/>
    <w:rsid w:val="001B6193"/>
    <w:rsid w:val="001B6713"/>
    <w:rsid w:val="001B6730"/>
    <w:rsid w:val="001B6D8F"/>
    <w:rsid w:val="001B6DE1"/>
    <w:rsid w:val="001B6DF7"/>
    <w:rsid w:val="001B6F59"/>
    <w:rsid w:val="001B7129"/>
    <w:rsid w:val="001B790F"/>
    <w:rsid w:val="001C0A87"/>
    <w:rsid w:val="001C0B7B"/>
    <w:rsid w:val="001C0C74"/>
    <w:rsid w:val="001C1005"/>
    <w:rsid w:val="001C1705"/>
    <w:rsid w:val="001C1D71"/>
    <w:rsid w:val="001C21A7"/>
    <w:rsid w:val="001C23A7"/>
    <w:rsid w:val="001C25A5"/>
    <w:rsid w:val="001C2E46"/>
    <w:rsid w:val="001C3071"/>
    <w:rsid w:val="001C3403"/>
    <w:rsid w:val="001C3723"/>
    <w:rsid w:val="001C3E9C"/>
    <w:rsid w:val="001C4290"/>
    <w:rsid w:val="001C4712"/>
    <w:rsid w:val="001C485F"/>
    <w:rsid w:val="001C4A2D"/>
    <w:rsid w:val="001C4C8F"/>
    <w:rsid w:val="001C4E9A"/>
    <w:rsid w:val="001C4F6E"/>
    <w:rsid w:val="001C5101"/>
    <w:rsid w:val="001C52EF"/>
    <w:rsid w:val="001C532B"/>
    <w:rsid w:val="001C5773"/>
    <w:rsid w:val="001C5809"/>
    <w:rsid w:val="001C5C0D"/>
    <w:rsid w:val="001C60B2"/>
    <w:rsid w:val="001C6112"/>
    <w:rsid w:val="001C62A5"/>
    <w:rsid w:val="001C6305"/>
    <w:rsid w:val="001C69A0"/>
    <w:rsid w:val="001C6E24"/>
    <w:rsid w:val="001C709E"/>
    <w:rsid w:val="001C71D5"/>
    <w:rsid w:val="001C797C"/>
    <w:rsid w:val="001C7AD6"/>
    <w:rsid w:val="001C7C45"/>
    <w:rsid w:val="001C7E06"/>
    <w:rsid w:val="001C7E88"/>
    <w:rsid w:val="001C7F8C"/>
    <w:rsid w:val="001C7FBA"/>
    <w:rsid w:val="001D040F"/>
    <w:rsid w:val="001D07BD"/>
    <w:rsid w:val="001D0F79"/>
    <w:rsid w:val="001D1028"/>
    <w:rsid w:val="001D124C"/>
    <w:rsid w:val="001D1389"/>
    <w:rsid w:val="001D17D6"/>
    <w:rsid w:val="001D18A2"/>
    <w:rsid w:val="001D1AC5"/>
    <w:rsid w:val="001D1CD6"/>
    <w:rsid w:val="001D1F64"/>
    <w:rsid w:val="001D22A3"/>
    <w:rsid w:val="001D29A2"/>
    <w:rsid w:val="001D2B11"/>
    <w:rsid w:val="001D32D8"/>
    <w:rsid w:val="001D3334"/>
    <w:rsid w:val="001D367A"/>
    <w:rsid w:val="001D3932"/>
    <w:rsid w:val="001D3CDB"/>
    <w:rsid w:val="001D409C"/>
    <w:rsid w:val="001D430D"/>
    <w:rsid w:val="001D4ACD"/>
    <w:rsid w:val="001D4C31"/>
    <w:rsid w:val="001D4C82"/>
    <w:rsid w:val="001D4D27"/>
    <w:rsid w:val="001D512F"/>
    <w:rsid w:val="001D5336"/>
    <w:rsid w:val="001D547D"/>
    <w:rsid w:val="001D5CFB"/>
    <w:rsid w:val="001D5D82"/>
    <w:rsid w:val="001D5D86"/>
    <w:rsid w:val="001D5E3A"/>
    <w:rsid w:val="001D5F21"/>
    <w:rsid w:val="001D6130"/>
    <w:rsid w:val="001D628A"/>
    <w:rsid w:val="001D6821"/>
    <w:rsid w:val="001D694A"/>
    <w:rsid w:val="001D6E1D"/>
    <w:rsid w:val="001D760A"/>
    <w:rsid w:val="001D773C"/>
    <w:rsid w:val="001D77CD"/>
    <w:rsid w:val="001D7903"/>
    <w:rsid w:val="001D79D5"/>
    <w:rsid w:val="001D7D66"/>
    <w:rsid w:val="001D7DDC"/>
    <w:rsid w:val="001E03AC"/>
    <w:rsid w:val="001E0E57"/>
    <w:rsid w:val="001E12D4"/>
    <w:rsid w:val="001E15F6"/>
    <w:rsid w:val="001E1BFF"/>
    <w:rsid w:val="001E1C8B"/>
    <w:rsid w:val="001E2025"/>
    <w:rsid w:val="001E243D"/>
    <w:rsid w:val="001E249D"/>
    <w:rsid w:val="001E2749"/>
    <w:rsid w:val="001E2779"/>
    <w:rsid w:val="001E2879"/>
    <w:rsid w:val="001E2A78"/>
    <w:rsid w:val="001E2D8E"/>
    <w:rsid w:val="001E3056"/>
    <w:rsid w:val="001E48DB"/>
    <w:rsid w:val="001E490C"/>
    <w:rsid w:val="001E496E"/>
    <w:rsid w:val="001E4CA8"/>
    <w:rsid w:val="001E5335"/>
    <w:rsid w:val="001E54B4"/>
    <w:rsid w:val="001E54FE"/>
    <w:rsid w:val="001E5638"/>
    <w:rsid w:val="001E5691"/>
    <w:rsid w:val="001E56B7"/>
    <w:rsid w:val="001E594D"/>
    <w:rsid w:val="001E6399"/>
    <w:rsid w:val="001E6961"/>
    <w:rsid w:val="001E6A45"/>
    <w:rsid w:val="001E6A54"/>
    <w:rsid w:val="001E79A1"/>
    <w:rsid w:val="001E7CDD"/>
    <w:rsid w:val="001E7F74"/>
    <w:rsid w:val="001F035E"/>
    <w:rsid w:val="001F0380"/>
    <w:rsid w:val="001F042A"/>
    <w:rsid w:val="001F076E"/>
    <w:rsid w:val="001F0AB2"/>
    <w:rsid w:val="001F109D"/>
    <w:rsid w:val="001F12E9"/>
    <w:rsid w:val="001F159F"/>
    <w:rsid w:val="001F17C1"/>
    <w:rsid w:val="001F193D"/>
    <w:rsid w:val="001F19DF"/>
    <w:rsid w:val="001F263D"/>
    <w:rsid w:val="001F27DF"/>
    <w:rsid w:val="001F2FD4"/>
    <w:rsid w:val="001F311F"/>
    <w:rsid w:val="001F32D3"/>
    <w:rsid w:val="001F35C6"/>
    <w:rsid w:val="001F366B"/>
    <w:rsid w:val="001F3851"/>
    <w:rsid w:val="001F38EF"/>
    <w:rsid w:val="001F3EEE"/>
    <w:rsid w:val="001F40B9"/>
    <w:rsid w:val="001F44E7"/>
    <w:rsid w:val="001F4667"/>
    <w:rsid w:val="001F493F"/>
    <w:rsid w:val="001F4A37"/>
    <w:rsid w:val="001F4E80"/>
    <w:rsid w:val="001F4E99"/>
    <w:rsid w:val="001F50FC"/>
    <w:rsid w:val="001F51EF"/>
    <w:rsid w:val="001F5243"/>
    <w:rsid w:val="001F5278"/>
    <w:rsid w:val="001F539F"/>
    <w:rsid w:val="001F54A6"/>
    <w:rsid w:val="001F5679"/>
    <w:rsid w:val="001F56F7"/>
    <w:rsid w:val="001F5A5D"/>
    <w:rsid w:val="001F67DD"/>
    <w:rsid w:val="001F69CA"/>
    <w:rsid w:val="001F6F85"/>
    <w:rsid w:val="001F713A"/>
    <w:rsid w:val="001F73CD"/>
    <w:rsid w:val="001F7D8F"/>
    <w:rsid w:val="0020033D"/>
    <w:rsid w:val="00200524"/>
    <w:rsid w:val="002006A8"/>
    <w:rsid w:val="002008FC"/>
    <w:rsid w:val="00200930"/>
    <w:rsid w:val="00200E13"/>
    <w:rsid w:val="00200E50"/>
    <w:rsid w:val="00201039"/>
    <w:rsid w:val="002017E3"/>
    <w:rsid w:val="00201D93"/>
    <w:rsid w:val="00201E60"/>
    <w:rsid w:val="0020201A"/>
    <w:rsid w:val="002023CA"/>
    <w:rsid w:val="002024EF"/>
    <w:rsid w:val="0020258C"/>
    <w:rsid w:val="002025DC"/>
    <w:rsid w:val="00202711"/>
    <w:rsid w:val="00202E43"/>
    <w:rsid w:val="00203068"/>
    <w:rsid w:val="00203454"/>
    <w:rsid w:val="0020391C"/>
    <w:rsid w:val="00203AAE"/>
    <w:rsid w:val="00203BA6"/>
    <w:rsid w:val="00203CFC"/>
    <w:rsid w:val="00203DEE"/>
    <w:rsid w:val="002040DA"/>
    <w:rsid w:val="00204130"/>
    <w:rsid w:val="002042B4"/>
    <w:rsid w:val="0020468D"/>
    <w:rsid w:val="00204697"/>
    <w:rsid w:val="00204B3C"/>
    <w:rsid w:val="002051F4"/>
    <w:rsid w:val="00205211"/>
    <w:rsid w:val="002053D5"/>
    <w:rsid w:val="002060D3"/>
    <w:rsid w:val="002065C7"/>
    <w:rsid w:val="002068DA"/>
    <w:rsid w:val="00206BC8"/>
    <w:rsid w:val="00206D31"/>
    <w:rsid w:val="0020722A"/>
    <w:rsid w:val="00207369"/>
    <w:rsid w:val="0020770B"/>
    <w:rsid w:val="00207755"/>
    <w:rsid w:val="00210106"/>
    <w:rsid w:val="002107B2"/>
    <w:rsid w:val="00210802"/>
    <w:rsid w:val="00210885"/>
    <w:rsid w:val="0021089D"/>
    <w:rsid w:val="0021099E"/>
    <w:rsid w:val="00210ACA"/>
    <w:rsid w:val="00210C90"/>
    <w:rsid w:val="00210D16"/>
    <w:rsid w:val="002114C6"/>
    <w:rsid w:val="002117DD"/>
    <w:rsid w:val="002118CC"/>
    <w:rsid w:val="00211983"/>
    <w:rsid w:val="00211984"/>
    <w:rsid w:val="002119DA"/>
    <w:rsid w:val="00211E18"/>
    <w:rsid w:val="0021201F"/>
    <w:rsid w:val="002120A1"/>
    <w:rsid w:val="0021246E"/>
    <w:rsid w:val="002125FE"/>
    <w:rsid w:val="00212929"/>
    <w:rsid w:val="00212A41"/>
    <w:rsid w:val="00212C84"/>
    <w:rsid w:val="00212D3D"/>
    <w:rsid w:val="00212F1B"/>
    <w:rsid w:val="00213527"/>
    <w:rsid w:val="00213698"/>
    <w:rsid w:val="002136E6"/>
    <w:rsid w:val="00213793"/>
    <w:rsid w:val="00213C59"/>
    <w:rsid w:val="00213D72"/>
    <w:rsid w:val="00213DE4"/>
    <w:rsid w:val="00213F3C"/>
    <w:rsid w:val="00214601"/>
    <w:rsid w:val="00214A16"/>
    <w:rsid w:val="00214A8F"/>
    <w:rsid w:val="00214C70"/>
    <w:rsid w:val="002153E3"/>
    <w:rsid w:val="002154CF"/>
    <w:rsid w:val="002155FB"/>
    <w:rsid w:val="0021583B"/>
    <w:rsid w:val="00215B5B"/>
    <w:rsid w:val="0021603F"/>
    <w:rsid w:val="00216826"/>
    <w:rsid w:val="0021689C"/>
    <w:rsid w:val="00216A0B"/>
    <w:rsid w:val="00216EA4"/>
    <w:rsid w:val="002174E8"/>
    <w:rsid w:val="002175EB"/>
    <w:rsid w:val="00217734"/>
    <w:rsid w:val="00217782"/>
    <w:rsid w:val="00217B4A"/>
    <w:rsid w:val="002203D0"/>
    <w:rsid w:val="0022096E"/>
    <w:rsid w:val="00220A03"/>
    <w:rsid w:val="00220A6E"/>
    <w:rsid w:val="00220E7F"/>
    <w:rsid w:val="002214E4"/>
    <w:rsid w:val="00221657"/>
    <w:rsid w:val="00221ACB"/>
    <w:rsid w:val="00221D4F"/>
    <w:rsid w:val="002226D4"/>
    <w:rsid w:val="00222760"/>
    <w:rsid w:val="00222BC3"/>
    <w:rsid w:val="00222E16"/>
    <w:rsid w:val="00222ECA"/>
    <w:rsid w:val="00222FC0"/>
    <w:rsid w:val="002232BB"/>
    <w:rsid w:val="00223355"/>
    <w:rsid w:val="002234E1"/>
    <w:rsid w:val="002237F8"/>
    <w:rsid w:val="0022391F"/>
    <w:rsid w:val="00223A80"/>
    <w:rsid w:val="00223B73"/>
    <w:rsid w:val="00224079"/>
    <w:rsid w:val="002240FF"/>
    <w:rsid w:val="00224388"/>
    <w:rsid w:val="002244DE"/>
    <w:rsid w:val="002247D5"/>
    <w:rsid w:val="00224883"/>
    <w:rsid w:val="002248BC"/>
    <w:rsid w:val="002249FF"/>
    <w:rsid w:val="00224AF8"/>
    <w:rsid w:val="00224C0D"/>
    <w:rsid w:val="00224CAF"/>
    <w:rsid w:val="00224F90"/>
    <w:rsid w:val="0022501E"/>
    <w:rsid w:val="00225358"/>
    <w:rsid w:val="00225848"/>
    <w:rsid w:val="00225EC1"/>
    <w:rsid w:val="00226504"/>
    <w:rsid w:val="00226520"/>
    <w:rsid w:val="00226598"/>
    <w:rsid w:val="00226765"/>
    <w:rsid w:val="002267B1"/>
    <w:rsid w:val="002267DD"/>
    <w:rsid w:val="00226A11"/>
    <w:rsid w:val="00226B3A"/>
    <w:rsid w:val="00226D64"/>
    <w:rsid w:val="00226D65"/>
    <w:rsid w:val="00226FD0"/>
    <w:rsid w:val="0022703A"/>
    <w:rsid w:val="0022756D"/>
    <w:rsid w:val="002277CE"/>
    <w:rsid w:val="00227ADE"/>
    <w:rsid w:val="00227C64"/>
    <w:rsid w:val="00227F26"/>
    <w:rsid w:val="00227F62"/>
    <w:rsid w:val="002301F1"/>
    <w:rsid w:val="00230708"/>
    <w:rsid w:val="0023093C"/>
    <w:rsid w:val="00230B0E"/>
    <w:rsid w:val="00230EE2"/>
    <w:rsid w:val="00231777"/>
    <w:rsid w:val="002317C5"/>
    <w:rsid w:val="00231D71"/>
    <w:rsid w:val="002321EB"/>
    <w:rsid w:val="002325B5"/>
    <w:rsid w:val="00232D69"/>
    <w:rsid w:val="00232E89"/>
    <w:rsid w:val="002330DD"/>
    <w:rsid w:val="0023329A"/>
    <w:rsid w:val="0023364B"/>
    <w:rsid w:val="002336B2"/>
    <w:rsid w:val="00233832"/>
    <w:rsid w:val="00233A8C"/>
    <w:rsid w:val="00233AC1"/>
    <w:rsid w:val="00233FBC"/>
    <w:rsid w:val="00234022"/>
    <w:rsid w:val="0023444F"/>
    <w:rsid w:val="00234476"/>
    <w:rsid w:val="00234589"/>
    <w:rsid w:val="00234D22"/>
    <w:rsid w:val="00234DF2"/>
    <w:rsid w:val="00235554"/>
    <w:rsid w:val="00235846"/>
    <w:rsid w:val="00235C6F"/>
    <w:rsid w:val="00236489"/>
    <w:rsid w:val="0023673D"/>
    <w:rsid w:val="0023680A"/>
    <w:rsid w:val="00236CBB"/>
    <w:rsid w:val="0023702A"/>
    <w:rsid w:val="0023703F"/>
    <w:rsid w:val="00237107"/>
    <w:rsid w:val="00237179"/>
    <w:rsid w:val="00237554"/>
    <w:rsid w:val="0023757E"/>
    <w:rsid w:val="002375DD"/>
    <w:rsid w:val="002376DC"/>
    <w:rsid w:val="00237858"/>
    <w:rsid w:val="00237B7B"/>
    <w:rsid w:val="00237D54"/>
    <w:rsid w:val="00237EB4"/>
    <w:rsid w:val="00237EC4"/>
    <w:rsid w:val="00237F0E"/>
    <w:rsid w:val="00240068"/>
    <w:rsid w:val="00240731"/>
    <w:rsid w:val="00240932"/>
    <w:rsid w:val="00240AEC"/>
    <w:rsid w:val="00240F7F"/>
    <w:rsid w:val="002412E0"/>
    <w:rsid w:val="002414D0"/>
    <w:rsid w:val="00241A24"/>
    <w:rsid w:val="00241F9F"/>
    <w:rsid w:val="002423CF"/>
    <w:rsid w:val="00242816"/>
    <w:rsid w:val="00242C85"/>
    <w:rsid w:val="00243B2C"/>
    <w:rsid w:val="00244133"/>
    <w:rsid w:val="002441D8"/>
    <w:rsid w:val="0024448F"/>
    <w:rsid w:val="00246E5E"/>
    <w:rsid w:val="00246EE2"/>
    <w:rsid w:val="00246F37"/>
    <w:rsid w:val="00246FF4"/>
    <w:rsid w:val="00247017"/>
    <w:rsid w:val="0025029E"/>
    <w:rsid w:val="00250665"/>
    <w:rsid w:val="00250D75"/>
    <w:rsid w:val="00250E1A"/>
    <w:rsid w:val="00250F93"/>
    <w:rsid w:val="002510D1"/>
    <w:rsid w:val="00251106"/>
    <w:rsid w:val="002511FC"/>
    <w:rsid w:val="0025146A"/>
    <w:rsid w:val="002514D3"/>
    <w:rsid w:val="00251565"/>
    <w:rsid w:val="0025164F"/>
    <w:rsid w:val="002519DC"/>
    <w:rsid w:val="00251A3B"/>
    <w:rsid w:val="00251A61"/>
    <w:rsid w:val="00252120"/>
    <w:rsid w:val="0025261A"/>
    <w:rsid w:val="002526FE"/>
    <w:rsid w:val="00252AEA"/>
    <w:rsid w:val="00252E80"/>
    <w:rsid w:val="00253193"/>
    <w:rsid w:val="00253497"/>
    <w:rsid w:val="00253567"/>
    <w:rsid w:val="00253908"/>
    <w:rsid w:val="0025394B"/>
    <w:rsid w:val="00254078"/>
    <w:rsid w:val="00254892"/>
    <w:rsid w:val="00254AAE"/>
    <w:rsid w:val="00254D0D"/>
    <w:rsid w:val="00255567"/>
    <w:rsid w:val="002559CE"/>
    <w:rsid w:val="00255AA8"/>
    <w:rsid w:val="00255C3E"/>
    <w:rsid w:val="00255D65"/>
    <w:rsid w:val="00255D9B"/>
    <w:rsid w:val="002562E1"/>
    <w:rsid w:val="002564D7"/>
    <w:rsid w:val="002564EE"/>
    <w:rsid w:val="00256745"/>
    <w:rsid w:val="00256A95"/>
    <w:rsid w:val="00256B55"/>
    <w:rsid w:val="00256C08"/>
    <w:rsid w:val="002570DC"/>
    <w:rsid w:val="002572C5"/>
    <w:rsid w:val="00257466"/>
    <w:rsid w:val="0025786A"/>
    <w:rsid w:val="0025789F"/>
    <w:rsid w:val="00257DBE"/>
    <w:rsid w:val="00257F83"/>
    <w:rsid w:val="00260006"/>
    <w:rsid w:val="002608EA"/>
    <w:rsid w:val="00260E51"/>
    <w:rsid w:val="00261103"/>
    <w:rsid w:val="002612E8"/>
    <w:rsid w:val="00261330"/>
    <w:rsid w:val="00261407"/>
    <w:rsid w:val="00261577"/>
    <w:rsid w:val="00261590"/>
    <w:rsid w:val="002615EB"/>
    <w:rsid w:val="002617D0"/>
    <w:rsid w:val="0026192B"/>
    <w:rsid w:val="00261ECF"/>
    <w:rsid w:val="0026212F"/>
    <w:rsid w:val="002625A2"/>
    <w:rsid w:val="002625CA"/>
    <w:rsid w:val="002630EA"/>
    <w:rsid w:val="002632C0"/>
    <w:rsid w:val="0026370A"/>
    <w:rsid w:val="002637C0"/>
    <w:rsid w:val="002639D8"/>
    <w:rsid w:val="00263C55"/>
    <w:rsid w:val="00263CFE"/>
    <w:rsid w:val="00263FC5"/>
    <w:rsid w:val="00264251"/>
    <w:rsid w:val="00264744"/>
    <w:rsid w:val="0026476C"/>
    <w:rsid w:val="00264EE2"/>
    <w:rsid w:val="00265062"/>
    <w:rsid w:val="002652C8"/>
    <w:rsid w:val="002652CB"/>
    <w:rsid w:val="00265894"/>
    <w:rsid w:val="00265F49"/>
    <w:rsid w:val="0026637B"/>
    <w:rsid w:val="00266759"/>
    <w:rsid w:val="002668C0"/>
    <w:rsid w:val="00266C85"/>
    <w:rsid w:val="00266E35"/>
    <w:rsid w:val="00266FF1"/>
    <w:rsid w:val="002672A4"/>
    <w:rsid w:val="002672B9"/>
    <w:rsid w:val="00267A20"/>
    <w:rsid w:val="00267B59"/>
    <w:rsid w:val="00267FB7"/>
    <w:rsid w:val="002701FE"/>
    <w:rsid w:val="0027044A"/>
    <w:rsid w:val="002704F1"/>
    <w:rsid w:val="002707F9"/>
    <w:rsid w:val="002708A7"/>
    <w:rsid w:val="00270A21"/>
    <w:rsid w:val="00270A2D"/>
    <w:rsid w:val="002710BB"/>
    <w:rsid w:val="0027129B"/>
    <w:rsid w:val="002714E9"/>
    <w:rsid w:val="00271933"/>
    <w:rsid w:val="00271968"/>
    <w:rsid w:val="00271DA7"/>
    <w:rsid w:val="00272B38"/>
    <w:rsid w:val="00272BC0"/>
    <w:rsid w:val="0027354E"/>
    <w:rsid w:val="0027360D"/>
    <w:rsid w:val="0027376B"/>
    <w:rsid w:val="00273906"/>
    <w:rsid w:val="00273A41"/>
    <w:rsid w:val="0027413C"/>
    <w:rsid w:val="002743CF"/>
    <w:rsid w:val="002747E5"/>
    <w:rsid w:val="0027483D"/>
    <w:rsid w:val="00274A2D"/>
    <w:rsid w:val="00274B88"/>
    <w:rsid w:val="00274BA8"/>
    <w:rsid w:val="00274DA3"/>
    <w:rsid w:val="00274E2C"/>
    <w:rsid w:val="002750BA"/>
    <w:rsid w:val="002751EB"/>
    <w:rsid w:val="00275234"/>
    <w:rsid w:val="0027554E"/>
    <w:rsid w:val="0027574A"/>
    <w:rsid w:val="00275975"/>
    <w:rsid w:val="00275B62"/>
    <w:rsid w:val="00275B80"/>
    <w:rsid w:val="00275EBF"/>
    <w:rsid w:val="002763B9"/>
    <w:rsid w:val="00276499"/>
    <w:rsid w:val="00276580"/>
    <w:rsid w:val="002766FA"/>
    <w:rsid w:val="00276743"/>
    <w:rsid w:val="00276C7E"/>
    <w:rsid w:val="00276F9B"/>
    <w:rsid w:val="0027704C"/>
    <w:rsid w:val="0027711A"/>
    <w:rsid w:val="002773FD"/>
    <w:rsid w:val="00277451"/>
    <w:rsid w:val="00277B2C"/>
    <w:rsid w:val="00277B96"/>
    <w:rsid w:val="00277CCF"/>
    <w:rsid w:val="00277DD5"/>
    <w:rsid w:val="002801FF"/>
    <w:rsid w:val="0028023A"/>
    <w:rsid w:val="002803CA"/>
    <w:rsid w:val="00280E14"/>
    <w:rsid w:val="002810D7"/>
    <w:rsid w:val="00281570"/>
    <w:rsid w:val="00281D02"/>
    <w:rsid w:val="002823C5"/>
    <w:rsid w:val="002823DA"/>
    <w:rsid w:val="00282651"/>
    <w:rsid w:val="00282863"/>
    <w:rsid w:val="00282F3D"/>
    <w:rsid w:val="002832DE"/>
    <w:rsid w:val="00283386"/>
    <w:rsid w:val="00283BD6"/>
    <w:rsid w:val="00283CC4"/>
    <w:rsid w:val="00283F66"/>
    <w:rsid w:val="00284140"/>
    <w:rsid w:val="002843A2"/>
    <w:rsid w:val="002846D2"/>
    <w:rsid w:val="00284A74"/>
    <w:rsid w:val="00284E38"/>
    <w:rsid w:val="00285228"/>
    <w:rsid w:val="00285826"/>
    <w:rsid w:val="00285B32"/>
    <w:rsid w:val="00285ED8"/>
    <w:rsid w:val="00285EFF"/>
    <w:rsid w:val="00285F65"/>
    <w:rsid w:val="002860AB"/>
    <w:rsid w:val="0028614A"/>
    <w:rsid w:val="002861A6"/>
    <w:rsid w:val="002862C7"/>
    <w:rsid w:val="00286837"/>
    <w:rsid w:val="0028697F"/>
    <w:rsid w:val="00286E18"/>
    <w:rsid w:val="00286EC8"/>
    <w:rsid w:val="00286ECC"/>
    <w:rsid w:val="002873C9"/>
    <w:rsid w:val="00287440"/>
    <w:rsid w:val="00287653"/>
    <w:rsid w:val="00287C06"/>
    <w:rsid w:val="00287D98"/>
    <w:rsid w:val="00290092"/>
    <w:rsid w:val="00290205"/>
    <w:rsid w:val="00290276"/>
    <w:rsid w:val="0029067F"/>
    <w:rsid w:val="00290B21"/>
    <w:rsid w:val="00290C99"/>
    <w:rsid w:val="00290ED7"/>
    <w:rsid w:val="00291373"/>
    <w:rsid w:val="00291422"/>
    <w:rsid w:val="00291979"/>
    <w:rsid w:val="00291EF9"/>
    <w:rsid w:val="00292912"/>
    <w:rsid w:val="00292919"/>
    <w:rsid w:val="00292979"/>
    <w:rsid w:val="00292A85"/>
    <w:rsid w:val="00292BCA"/>
    <w:rsid w:val="00292F0C"/>
    <w:rsid w:val="00292F88"/>
    <w:rsid w:val="002931E4"/>
    <w:rsid w:val="002932A4"/>
    <w:rsid w:val="00293495"/>
    <w:rsid w:val="002935F1"/>
    <w:rsid w:val="0029375A"/>
    <w:rsid w:val="00293865"/>
    <w:rsid w:val="00293903"/>
    <w:rsid w:val="00293C0D"/>
    <w:rsid w:val="00293C75"/>
    <w:rsid w:val="00293CB1"/>
    <w:rsid w:val="0029415B"/>
    <w:rsid w:val="00294460"/>
    <w:rsid w:val="00294733"/>
    <w:rsid w:val="0029479E"/>
    <w:rsid w:val="00294DCC"/>
    <w:rsid w:val="00294F10"/>
    <w:rsid w:val="0029548F"/>
    <w:rsid w:val="00295580"/>
    <w:rsid w:val="00296120"/>
    <w:rsid w:val="0029689F"/>
    <w:rsid w:val="002969E2"/>
    <w:rsid w:val="00296AA5"/>
    <w:rsid w:val="00296E16"/>
    <w:rsid w:val="00296E9A"/>
    <w:rsid w:val="00296EC0"/>
    <w:rsid w:val="002970EB"/>
    <w:rsid w:val="002970F1"/>
    <w:rsid w:val="0029720D"/>
    <w:rsid w:val="0029725A"/>
    <w:rsid w:val="0029730F"/>
    <w:rsid w:val="002979FC"/>
    <w:rsid w:val="002A00DD"/>
    <w:rsid w:val="002A053C"/>
    <w:rsid w:val="002A06D3"/>
    <w:rsid w:val="002A076E"/>
    <w:rsid w:val="002A0849"/>
    <w:rsid w:val="002A0C62"/>
    <w:rsid w:val="002A1273"/>
    <w:rsid w:val="002A1620"/>
    <w:rsid w:val="002A1B0C"/>
    <w:rsid w:val="002A1C06"/>
    <w:rsid w:val="002A1D98"/>
    <w:rsid w:val="002A21F8"/>
    <w:rsid w:val="002A220A"/>
    <w:rsid w:val="002A22BD"/>
    <w:rsid w:val="002A231C"/>
    <w:rsid w:val="002A2563"/>
    <w:rsid w:val="002A25B3"/>
    <w:rsid w:val="002A2685"/>
    <w:rsid w:val="002A2759"/>
    <w:rsid w:val="002A2A4E"/>
    <w:rsid w:val="002A32E7"/>
    <w:rsid w:val="002A37DC"/>
    <w:rsid w:val="002A3B88"/>
    <w:rsid w:val="002A3C01"/>
    <w:rsid w:val="002A401D"/>
    <w:rsid w:val="002A424E"/>
    <w:rsid w:val="002A4493"/>
    <w:rsid w:val="002A467D"/>
    <w:rsid w:val="002A4BD8"/>
    <w:rsid w:val="002A52F3"/>
    <w:rsid w:val="002A5400"/>
    <w:rsid w:val="002A5410"/>
    <w:rsid w:val="002A56D5"/>
    <w:rsid w:val="002A56F5"/>
    <w:rsid w:val="002A5F3D"/>
    <w:rsid w:val="002A617E"/>
    <w:rsid w:val="002A630D"/>
    <w:rsid w:val="002A6370"/>
    <w:rsid w:val="002A6AEF"/>
    <w:rsid w:val="002A6B3D"/>
    <w:rsid w:val="002A6B65"/>
    <w:rsid w:val="002A6BCA"/>
    <w:rsid w:val="002A7086"/>
    <w:rsid w:val="002A70DC"/>
    <w:rsid w:val="002A72D4"/>
    <w:rsid w:val="002A72ED"/>
    <w:rsid w:val="002A761A"/>
    <w:rsid w:val="002A764C"/>
    <w:rsid w:val="002A765B"/>
    <w:rsid w:val="002A77B4"/>
    <w:rsid w:val="002A7D6C"/>
    <w:rsid w:val="002B0128"/>
    <w:rsid w:val="002B022D"/>
    <w:rsid w:val="002B0362"/>
    <w:rsid w:val="002B0607"/>
    <w:rsid w:val="002B08BE"/>
    <w:rsid w:val="002B0930"/>
    <w:rsid w:val="002B093D"/>
    <w:rsid w:val="002B0981"/>
    <w:rsid w:val="002B0DB2"/>
    <w:rsid w:val="002B0E3A"/>
    <w:rsid w:val="002B11A4"/>
    <w:rsid w:val="002B12BA"/>
    <w:rsid w:val="002B1AF7"/>
    <w:rsid w:val="002B219C"/>
    <w:rsid w:val="002B2617"/>
    <w:rsid w:val="002B353F"/>
    <w:rsid w:val="002B3558"/>
    <w:rsid w:val="002B3778"/>
    <w:rsid w:val="002B38A1"/>
    <w:rsid w:val="002B3928"/>
    <w:rsid w:val="002B3B82"/>
    <w:rsid w:val="002B3B8C"/>
    <w:rsid w:val="002B3C87"/>
    <w:rsid w:val="002B4A5D"/>
    <w:rsid w:val="002B4AC7"/>
    <w:rsid w:val="002B4CD1"/>
    <w:rsid w:val="002B4FA8"/>
    <w:rsid w:val="002B541A"/>
    <w:rsid w:val="002B5492"/>
    <w:rsid w:val="002B5DD4"/>
    <w:rsid w:val="002B5EE5"/>
    <w:rsid w:val="002B67A0"/>
    <w:rsid w:val="002B681A"/>
    <w:rsid w:val="002B6F3D"/>
    <w:rsid w:val="002B7883"/>
    <w:rsid w:val="002B7CEB"/>
    <w:rsid w:val="002B7E7E"/>
    <w:rsid w:val="002C0013"/>
    <w:rsid w:val="002C0101"/>
    <w:rsid w:val="002C030E"/>
    <w:rsid w:val="002C0431"/>
    <w:rsid w:val="002C048A"/>
    <w:rsid w:val="002C06E1"/>
    <w:rsid w:val="002C160A"/>
    <w:rsid w:val="002C16DB"/>
    <w:rsid w:val="002C1788"/>
    <w:rsid w:val="002C17FE"/>
    <w:rsid w:val="002C195B"/>
    <w:rsid w:val="002C1DD2"/>
    <w:rsid w:val="002C2566"/>
    <w:rsid w:val="002C2658"/>
    <w:rsid w:val="002C2702"/>
    <w:rsid w:val="002C29ED"/>
    <w:rsid w:val="002C3AC3"/>
    <w:rsid w:val="002C4045"/>
    <w:rsid w:val="002C4141"/>
    <w:rsid w:val="002C4633"/>
    <w:rsid w:val="002C46DD"/>
    <w:rsid w:val="002C4745"/>
    <w:rsid w:val="002C48FA"/>
    <w:rsid w:val="002C4E96"/>
    <w:rsid w:val="002C513A"/>
    <w:rsid w:val="002C51B4"/>
    <w:rsid w:val="002C530A"/>
    <w:rsid w:val="002C58BB"/>
    <w:rsid w:val="002C591E"/>
    <w:rsid w:val="002C5B09"/>
    <w:rsid w:val="002C5C49"/>
    <w:rsid w:val="002C5E8C"/>
    <w:rsid w:val="002C5F95"/>
    <w:rsid w:val="002C603D"/>
    <w:rsid w:val="002C6296"/>
    <w:rsid w:val="002C636C"/>
    <w:rsid w:val="002C65C4"/>
    <w:rsid w:val="002C6658"/>
    <w:rsid w:val="002C6666"/>
    <w:rsid w:val="002C69CB"/>
    <w:rsid w:val="002C6E96"/>
    <w:rsid w:val="002C7027"/>
    <w:rsid w:val="002C7423"/>
    <w:rsid w:val="002C767C"/>
    <w:rsid w:val="002C78D8"/>
    <w:rsid w:val="002C7A3A"/>
    <w:rsid w:val="002C7AC4"/>
    <w:rsid w:val="002C7C92"/>
    <w:rsid w:val="002C7D70"/>
    <w:rsid w:val="002D054D"/>
    <w:rsid w:val="002D0612"/>
    <w:rsid w:val="002D0635"/>
    <w:rsid w:val="002D072D"/>
    <w:rsid w:val="002D09E4"/>
    <w:rsid w:val="002D0EAA"/>
    <w:rsid w:val="002D0EE8"/>
    <w:rsid w:val="002D109D"/>
    <w:rsid w:val="002D1139"/>
    <w:rsid w:val="002D13C6"/>
    <w:rsid w:val="002D13E4"/>
    <w:rsid w:val="002D227A"/>
    <w:rsid w:val="002D244E"/>
    <w:rsid w:val="002D29FD"/>
    <w:rsid w:val="002D2A60"/>
    <w:rsid w:val="002D2DF5"/>
    <w:rsid w:val="002D2FBA"/>
    <w:rsid w:val="002D30E3"/>
    <w:rsid w:val="002D32C2"/>
    <w:rsid w:val="002D3652"/>
    <w:rsid w:val="002D390B"/>
    <w:rsid w:val="002D3D0D"/>
    <w:rsid w:val="002D3D1D"/>
    <w:rsid w:val="002D3DD2"/>
    <w:rsid w:val="002D408D"/>
    <w:rsid w:val="002D441D"/>
    <w:rsid w:val="002D4451"/>
    <w:rsid w:val="002D498D"/>
    <w:rsid w:val="002D50F2"/>
    <w:rsid w:val="002D53CA"/>
    <w:rsid w:val="002D5628"/>
    <w:rsid w:val="002D5994"/>
    <w:rsid w:val="002D5A89"/>
    <w:rsid w:val="002D5B87"/>
    <w:rsid w:val="002D5B97"/>
    <w:rsid w:val="002D5BA5"/>
    <w:rsid w:val="002D609D"/>
    <w:rsid w:val="002D6607"/>
    <w:rsid w:val="002D676B"/>
    <w:rsid w:val="002D6967"/>
    <w:rsid w:val="002D6BA2"/>
    <w:rsid w:val="002D6F31"/>
    <w:rsid w:val="002D707F"/>
    <w:rsid w:val="002D7233"/>
    <w:rsid w:val="002D73D6"/>
    <w:rsid w:val="002D7455"/>
    <w:rsid w:val="002D7BFB"/>
    <w:rsid w:val="002E021C"/>
    <w:rsid w:val="002E025B"/>
    <w:rsid w:val="002E08BB"/>
    <w:rsid w:val="002E1096"/>
    <w:rsid w:val="002E1337"/>
    <w:rsid w:val="002E13F7"/>
    <w:rsid w:val="002E1BBE"/>
    <w:rsid w:val="002E1C17"/>
    <w:rsid w:val="002E1F1D"/>
    <w:rsid w:val="002E2164"/>
    <w:rsid w:val="002E21C8"/>
    <w:rsid w:val="002E2597"/>
    <w:rsid w:val="002E27A7"/>
    <w:rsid w:val="002E2871"/>
    <w:rsid w:val="002E28FB"/>
    <w:rsid w:val="002E2CD3"/>
    <w:rsid w:val="002E3080"/>
    <w:rsid w:val="002E30A4"/>
    <w:rsid w:val="002E31C8"/>
    <w:rsid w:val="002E321D"/>
    <w:rsid w:val="002E34F6"/>
    <w:rsid w:val="002E3665"/>
    <w:rsid w:val="002E3671"/>
    <w:rsid w:val="002E38D3"/>
    <w:rsid w:val="002E3A31"/>
    <w:rsid w:val="002E3B2B"/>
    <w:rsid w:val="002E3C9D"/>
    <w:rsid w:val="002E3CF9"/>
    <w:rsid w:val="002E4387"/>
    <w:rsid w:val="002E45C3"/>
    <w:rsid w:val="002E47F8"/>
    <w:rsid w:val="002E48AD"/>
    <w:rsid w:val="002E4A34"/>
    <w:rsid w:val="002E4BC5"/>
    <w:rsid w:val="002E4FB1"/>
    <w:rsid w:val="002E50D6"/>
    <w:rsid w:val="002E52AC"/>
    <w:rsid w:val="002E5AD7"/>
    <w:rsid w:val="002E5EF0"/>
    <w:rsid w:val="002E60EF"/>
    <w:rsid w:val="002E6533"/>
    <w:rsid w:val="002E6997"/>
    <w:rsid w:val="002E6A88"/>
    <w:rsid w:val="002E6CEA"/>
    <w:rsid w:val="002E6D0E"/>
    <w:rsid w:val="002E6DBC"/>
    <w:rsid w:val="002E72B7"/>
    <w:rsid w:val="002E72E1"/>
    <w:rsid w:val="002E7790"/>
    <w:rsid w:val="002E7B3A"/>
    <w:rsid w:val="002E7BA1"/>
    <w:rsid w:val="002E7ECD"/>
    <w:rsid w:val="002E7FE5"/>
    <w:rsid w:val="002F0058"/>
    <w:rsid w:val="002F011F"/>
    <w:rsid w:val="002F0F27"/>
    <w:rsid w:val="002F1677"/>
    <w:rsid w:val="002F16BD"/>
    <w:rsid w:val="002F16ED"/>
    <w:rsid w:val="002F1770"/>
    <w:rsid w:val="002F1EB0"/>
    <w:rsid w:val="002F1EE4"/>
    <w:rsid w:val="002F1F3C"/>
    <w:rsid w:val="002F20F3"/>
    <w:rsid w:val="002F268F"/>
    <w:rsid w:val="002F273D"/>
    <w:rsid w:val="002F3275"/>
    <w:rsid w:val="002F32AB"/>
    <w:rsid w:val="002F41F4"/>
    <w:rsid w:val="002F44EE"/>
    <w:rsid w:val="002F4E95"/>
    <w:rsid w:val="002F5029"/>
    <w:rsid w:val="002F529E"/>
    <w:rsid w:val="002F5A83"/>
    <w:rsid w:val="002F5A98"/>
    <w:rsid w:val="002F5B19"/>
    <w:rsid w:val="002F5B7B"/>
    <w:rsid w:val="002F61F0"/>
    <w:rsid w:val="002F6710"/>
    <w:rsid w:val="002F6D04"/>
    <w:rsid w:val="002F6D1B"/>
    <w:rsid w:val="002F6FF8"/>
    <w:rsid w:val="002F75E9"/>
    <w:rsid w:val="002F7BC2"/>
    <w:rsid w:val="0030010A"/>
    <w:rsid w:val="003001C0"/>
    <w:rsid w:val="00300717"/>
    <w:rsid w:val="003009F7"/>
    <w:rsid w:val="00300BA2"/>
    <w:rsid w:val="003010C2"/>
    <w:rsid w:val="00301470"/>
    <w:rsid w:val="00301502"/>
    <w:rsid w:val="003017B9"/>
    <w:rsid w:val="003027ED"/>
    <w:rsid w:val="00302BEC"/>
    <w:rsid w:val="003030B7"/>
    <w:rsid w:val="003031B6"/>
    <w:rsid w:val="003034D5"/>
    <w:rsid w:val="003035B2"/>
    <w:rsid w:val="003038DC"/>
    <w:rsid w:val="00303947"/>
    <w:rsid w:val="00303A4B"/>
    <w:rsid w:val="003042F7"/>
    <w:rsid w:val="00304787"/>
    <w:rsid w:val="00304A08"/>
    <w:rsid w:val="00304FA4"/>
    <w:rsid w:val="00304FD2"/>
    <w:rsid w:val="0030527C"/>
    <w:rsid w:val="003054B8"/>
    <w:rsid w:val="00305BF1"/>
    <w:rsid w:val="00305C27"/>
    <w:rsid w:val="003063C4"/>
    <w:rsid w:val="0030643F"/>
    <w:rsid w:val="00306B43"/>
    <w:rsid w:val="00306BC8"/>
    <w:rsid w:val="00306EE1"/>
    <w:rsid w:val="003075FC"/>
    <w:rsid w:val="003077A5"/>
    <w:rsid w:val="00307809"/>
    <w:rsid w:val="00307B76"/>
    <w:rsid w:val="00307C24"/>
    <w:rsid w:val="00307C26"/>
    <w:rsid w:val="00307CD7"/>
    <w:rsid w:val="0031026E"/>
    <w:rsid w:val="0031063B"/>
    <w:rsid w:val="00310B14"/>
    <w:rsid w:val="00310B5A"/>
    <w:rsid w:val="00310C46"/>
    <w:rsid w:val="00310DDE"/>
    <w:rsid w:val="00310E57"/>
    <w:rsid w:val="00310F66"/>
    <w:rsid w:val="003112F8"/>
    <w:rsid w:val="0031186F"/>
    <w:rsid w:val="003118F8"/>
    <w:rsid w:val="00311955"/>
    <w:rsid w:val="00311A9B"/>
    <w:rsid w:val="00311E36"/>
    <w:rsid w:val="0031213E"/>
    <w:rsid w:val="00312221"/>
    <w:rsid w:val="0031263B"/>
    <w:rsid w:val="0031311F"/>
    <w:rsid w:val="00313509"/>
    <w:rsid w:val="00314265"/>
    <w:rsid w:val="003144F6"/>
    <w:rsid w:val="00314587"/>
    <w:rsid w:val="00314834"/>
    <w:rsid w:val="0031498A"/>
    <w:rsid w:val="00314A9E"/>
    <w:rsid w:val="003155C3"/>
    <w:rsid w:val="00315A12"/>
    <w:rsid w:val="00316DCA"/>
    <w:rsid w:val="00316F5E"/>
    <w:rsid w:val="00317208"/>
    <w:rsid w:val="003175C5"/>
    <w:rsid w:val="00317BF5"/>
    <w:rsid w:val="00317CD2"/>
    <w:rsid w:val="00317EF0"/>
    <w:rsid w:val="00317F38"/>
    <w:rsid w:val="003200D5"/>
    <w:rsid w:val="00320126"/>
    <w:rsid w:val="0032018B"/>
    <w:rsid w:val="003203FA"/>
    <w:rsid w:val="00320689"/>
    <w:rsid w:val="00320AEF"/>
    <w:rsid w:val="00320C97"/>
    <w:rsid w:val="00320CB9"/>
    <w:rsid w:val="00320E49"/>
    <w:rsid w:val="00321099"/>
    <w:rsid w:val="00321B03"/>
    <w:rsid w:val="0032205F"/>
    <w:rsid w:val="00322496"/>
    <w:rsid w:val="00322499"/>
    <w:rsid w:val="003234E5"/>
    <w:rsid w:val="003235AD"/>
    <w:rsid w:val="003235DD"/>
    <w:rsid w:val="00323820"/>
    <w:rsid w:val="00323D4B"/>
    <w:rsid w:val="00323E72"/>
    <w:rsid w:val="003240A7"/>
    <w:rsid w:val="00324140"/>
    <w:rsid w:val="003241CE"/>
    <w:rsid w:val="00324FB3"/>
    <w:rsid w:val="0032549B"/>
    <w:rsid w:val="00325819"/>
    <w:rsid w:val="0032662D"/>
    <w:rsid w:val="00326834"/>
    <w:rsid w:val="0032695A"/>
    <w:rsid w:val="00326B43"/>
    <w:rsid w:val="00327108"/>
    <w:rsid w:val="003274A4"/>
    <w:rsid w:val="00327728"/>
    <w:rsid w:val="00327739"/>
    <w:rsid w:val="00327789"/>
    <w:rsid w:val="0032797E"/>
    <w:rsid w:val="00327C1D"/>
    <w:rsid w:val="0033022B"/>
    <w:rsid w:val="0033025C"/>
    <w:rsid w:val="003302FD"/>
    <w:rsid w:val="00331115"/>
    <w:rsid w:val="0033128E"/>
    <w:rsid w:val="0033135B"/>
    <w:rsid w:val="003318D2"/>
    <w:rsid w:val="00331AD6"/>
    <w:rsid w:val="00331DCF"/>
    <w:rsid w:val="00332147"/>
    <w:rsid w:val="00332175"/>
    <w:rsid w:val="0033240B"/>
    <w:rsid w:val="00332595"/>
    <w:rsid w:val="00332A2B"/>
    <w:rsid w:val="00332C5B"/>
    <w:rsid w:val="00333065"/>
    <w:rsid w:val="0033366B"/>
    <w:rsid w:val="00333709"/>
    <w:rsid w:val="003337FB"/>
    <w:rsid w:val="00333D0B"/>
    <w:rsid w:val="003340C6"/>
    <w:rsid w:val="0033447E"/>
    <w:rsid w:val="003344BF"/>
    <w:rsid w:val="00334EBC"/>
    <w:rsid w:val="0033511E"/>
    <w:rsid w:val="00335198"/>
    <w:rsid w:val="00335385"/>
    <w:rsid w:val="00335489"/>
    <w:rsid w:val="00335499"/>
    <w:rsid w:val="00336054"/>
    <w:rsid w:val="00336274"/>
    <w:rsid w:val="00336375"/>
    <w:rsid w:val="00336952"/>
    <w:rsid w:val="003369E3"/>
    <w:rsid w:val="00336A15"/>
    <w:rsid w:val="00336C77"/>
    <w:rsid w:val="00336CF2"/>
    <w:rsid w:val="00336F01"/>
    <w:rsid w:val="0033710F"/>
    <w:rsid w:val="003373D0"/>
    <w:rsid w:val="00337601"/>
    <w:rsid w:val="0033763A"/>
    <w:rsid w:val="00337E98"/>
    <w:rsid w:val="003400B6"/>
    <w:rsid w:val="003409DA"/>
    <w:rsid w:val="00340DC0"/>
    <w:rsid w:val="0034101B"/>
    <w:rsid w:val="003410CB"/>
    <w:rsid w:val="003414EB"/>
    <w:rsid w:val="00341600"/>
    <w:rsid w:val="0034205F"/>
    <w:rsid w:val="003421AE"/>
    <w:rsid w:val="0034291C"/>
    <w:rsid w:val="00342A7B"/>
    <w:rsid w:val="00343184"/>
    <w:rsid w:val="00343561"/>
    <w:rsid w:val="00343595"/>
    <w:rsid w:val="00343648"/>
    <w:rsid w:val="003438CB"/>
    <w:rsid w:val="00343BD5"/>
    <w:rsid w:val="00343E10"/>
    <w:rsid w:val="00343F67"/>
    <w:rsid w:val="003448B0"/>
    <w:rsid w:val="00344B1D"/>
    <w:rsid w:val="00344FD5"/>
    <w:rsid w:val="00345301"/>
    <w:rsid w:val="00345491"/>
    <w:rsid w:val="003455E7"/>
    <w:rsid w:val="00345B77"/>
    <w:rsid w:val="0034632E"/>
    <w:rsid w:val="0034666B"/>
    <w:rsid w:val="003466A9"/>
    <w:rsid w:val="00346A6D"/>
    <w:rsid w:val="00346B75"/>
    <w:rsid w:val="00346DAE"/>
    <w:rsid w:val="00346F8A"/>
    <w:rsid w:val="003475D2"/>
    <w:rsid w:val="0034780F"/>
    <w:rsid w:val="00347D14"/>
    <w:rsid w:val="00347EC4"/>
    <w:rsid w:val="00347FE5"/>
    <w:rsid w:val="003500A8"/>
    <w:rsid w:val="00350659"/>
    <w:rsid w:val="00350D07"/>
    <w:rsid w:val="00350FD7"/>
    <w:rsid w:val="00350FE7"/>
    <w:rsid w:val="0035139A"/>
    <w:rsid w:val="003513A6"/>
    <w:rsid w:val="003513DE"/>
    <w:rsid w:val="003514F3"/>
    <w:rsid w:val="00351B70"/>
    <w:rsid w:val="00351C2A"/>
    <w:rsid w:val="00351CAE"/>
    <w:rsid w:val="00351F6B"/>
    <w:rsid w:val="0035206B"/>
    <w:rsid w:val="003521EA"/>
    <w:rsid w:val="00352427"/>
    <w:rsid w:val="0035258B"/>
    <w:rsid w:val="00352DF8"/>
    <w:rsid w:val="00353107"/>
    <w:rsid w:val="003533A6"/>
    <w:rsid w:val="003535EB"/>
    <w:rsid w:val="0035366B"/>
    <w:rsid w:val="003539BB"/>
    <w:rsid w:val="00353ACA"/>
    <w:rsid w:val="00353CBD"/>
    <w:rsid w:val="0035479F"/>
    <w:rsid w:val="00354982"/>
    <w:rsid w:val="00354B3F"/>
    <w:rsid w:val="00354CB5"/>
    <w:rsid w:val="00354DEF"/>
    <w:rsid w:val="00355186"/>
    <w:rsid w:val="00355BA2"/>
    <w:rsid w:val="00355CAB"/>
    <w:rsid w:val="00355D0D"/>
    <w:rsid w:val="003563C2"/>
    <w:rsid w:val="0035699F"/>
    <w:rsid w:val="00356AF4"/>
    <w:rsid w:val="00356EC3"/>
    <w:rsid w:val="00356F45"/>
    <w:rsid w:val="00357068"/>
    <w:rsid w:val="003571BC"/>
    <w:rsid w:val="0035759B"/>
    <w:rsid w:val="00357835"/>
    <w:rsid w:val="00357AF2"/>
    <w:rsid w:val="00357C4E"/>
    <w:rsid w:val="00357D1A"/>
    <w:rsid w:val="00357E03"/>
    <w:rsid w:val="0036045A"/>
    <w:rsid w:val="003605A1"/>
    <w:rsid w:val="003606A0"/>
    <w:rsid w:val="003608B1"/>
    <w:rsid w:val="003610E4"/>
    <w:rsid w:val="00361162"/>
    <w:rsid w:val="003616B9"/>
    <w:rsid w:val="003617B7"/>
    <w:rsid w:val="003618CB"/>
    <w:rsid w:val="00361F73"/>
    <w:rsid w:val="00362124"/>
    <w:rsid w:val="0036214C"/>
    <w:rsid w:val="0036225C"/>
    <w:rsid w:val="0036228B"/>
    <w:rsid w:val="003624DB"/>
    <w:rsid w:val="0036278B"/>
    <w:rsid w:val="00362A44"/>
    <w:rsid w:val="00362CFC"/>
    <w:rsid w:val="00362D2A"/>
    <w:rsid w:val="00362FD7"/>
    <w:rsid w:val="00363205"/>
    <w:rsid w:val="003635EA"/>
    <w:rsid w:val="00364320"/>
    <w:rsid w:val="0036437A"/>
    <w:rsid w:val="00364628"/>
    <w:rsid w:val="003646D0"/>
    <w:rsid w:val="003648A3"/>
    <w:rsid w:val="00364A4F"/>
    <w:rsid w:val="00364C44"/>
    <w:rsid w:val="00364C75"/>
    <w:rsid w:val="00364D1B"/>
    <w:rsid w:val="003650C3"/>
    <w:rsid w:val="003651FD"/>
    <w:rsid w:val="00365242"/>
    <w:rsid w:val="0036591F"/>
    <w:rsid w:val="00365A47"/>
    <w:rsid w:val="00366047"/>
    <w:rsid w:val="0036606B"/>
    <w:rsid w:val="00366587"/>
    <w:rsid w:val="003666DB"/>
    <w:rsid w:val="00366849"/>
    <w:rsid w:val="0036708E"/>
    <w:rsid w:val="003673C6"/>
    <w:rsid w:val="0036783E"/>
    <w:rsid w:val="0036788B"/>
    <w:rsid w:val="0036791F"/>
    <w:rsid w:val="00367AF3"/>
    <w:rsid w:val="00367D1A"/>
    <w:rsid w:val="00370164"/>
    <w:rsid w:val="00370236"/>
    <w:rsid w:val="00370852"/>
    <w:rsid w:val="00370ECF"/>
    <w:rsid w:val="003711CB"/>
    <w:rsid w:val="003712EC"/>
    <w:rsid w:val="00371459"/>
    <w:rsid w:val="0037195B"/>
    <w:rsid w:val="00371A60"/>
    <w:rsid w:val="00371CCB"/>
    <w:rsid w:val="00371F1A"/>
    <w:rsid w:val="00371FA6"/>
    <w:rsid w:val="00372C0F"/>
    <w:rsid w:val="00372DC8"/>
    <w:rsid w:val="0037309F"/>
    <w:rsid w:val="0037364D"/>
    <w:rsid w:val="003737B0"/>
    <w:rsid w:val="00373FE6"/>
    <w:rsid w:val="00374520"/>
    <w:rsid w:val="0037499B"/>
    <w:rsid w:val="00374D1C"/>
    <w:rsid w:val="0037516E"/>
    <w:rsid w:val="00375172"/>
    <w:rsid w:val="003752BE"/>
    <w:rsid w:val="003754DC"/>
    <w:rsid w:val="003759D4"/>
    <w:rsid w:val="00375A20"/>
    <w:rsid w:val="00375B7B"/>
    <w:rsid w:val="0037618D"/>
    <w:rsid w:val="003762DF"/>
    <w:rsid w:val="00376847"/>
    <w:rsid w:val="00376E29"/>
    <w:rsid w:val="00376EFC"/>
    <w:rsid w:val="003773DC"/>
    <w:rsid w:val="003774EB"/>
    <w:rsid w:val="003777A2"/>
    <w:rsid w:val="00380192"/>
    <w:rsid w:val="00380752"/>
    <w:rsid w:val="00380C34"/>
    <w:rsid w:val="00380FDD"/>
    <w:rsid w:val="00381360"/>
    <w:rsid w:val="003814A6"/>
    <w:rsid w:val="003815D4"/>
    <w:rsid w:val="003815F0"/>
    <w:rsid w:val="003816C2"/>
    <w:rsid w:val="00381739"/>
    <w:rsid w:val="003819C8"/>
    <w:rsid w:val="00382417"/>
    <w:rsid w:val="003826CF"/>
    <w:rsid w:val="00382984"/>
    <w:rsid w:val="003829D4"/>
    <w:rsid w:val="00382D02"/>
    <w:rsid w:val="00382D0C"/>
    <w:rsid w:val="0038300B"/>
    <w:rsid w:val="0038323B"/>
    <w:rsid w:val="00383AA9"/>
    <w:rsid w:val="00383C54"/>
    <w:rsid w:val="00383E99"/>
    <w:rsid w:val="0038410C"/>
    <w:rsid w:val="003842BB"/>
    <w:rsid w:val="00384EE9"/>
    <w:rsid w:val="00385127"/>
    <w:rsid w:val="003854F0"/>
    <w:rsid w:val="0038588A"/>
    <w:rsid w:val="00385BE8"/>
    <w:rsid w:val="00385E21"/>
    <w:rsid w:val="00385FAA"/>
    <w:rsid w:val="003863C8"/>
    <w:rsid w:val="00386605"/>
    <w:rsid w:val="003867F6"/>
    <w:rsid w:val="00386A95"/>
    <w:rsid w:val="00386D7D"/>
    <w:rsid w:val="00386E61"/>
    <w:rsid w:val="00386F62"/>
    <w:rsid w:val="003872E0"/>
    <w:rsid w:val="003873A9"/>
    <w:rsid w:val="00387D02"/>
    <w:rsid w:val="00387E4C"/>
    <w:rsid w:val="00390701"/>
    <w:rsid w:val="00390A84"/>
    <w:rsid w:val="00390F4D"/>
    <w:rsid w:val="00391107"/>
    <w:rsid w:val="00391517"/>
    <w:rsid w:val="003916C6"/>
    <w:rsid w:val="003916ED"/>
    <w:rsid w:val="0039192F"/>
    <w:rsid w:val="00392187"/>
    <w:rsid w:val="00392401"/>
    <w:rsid w:val="003925BA"/>
    <w:rsid w:val="003925BB"/>
    <w:rsid w:val="003925D5"/>
    <w:rsid w:val="00392A86"/>
    <w:rsid w:val="00392D65"/>
    <w:rsid w:val="0039302F"/>
    <w:rsid w:val="0039379A"/>
    <w:rsid w:val="00393805"/>
    <w:rsid w:val="00393D57"/>
    <w:rsid w:val="00393D8E"/>
    <w:rsid w:val="00393E13"/>
    <w:rsid w:val="00393E88"/>
    <w:rsid w:val="00393FA1"/>
    <w:rsid w:val="00393FCB"/>
    <w:rsid w:val="00393FE0"/>
    <w:rsid w:val="003940F8"/>
    <w:rsid w:val="00394140"/>
    <w:rsid w:val="0039455F"/>
    <w:rsid w:val="00394A29"/>
    <w:rsid w:val="00394F4E"/>
    <w:rsid w:val="00395034"/>
    <w:rsid w:val="0039510A"/>
    <w:rsid w:val="00395474"/>
    <w:rsid w:val="0039555D"/>
    <w:rsid w:val="00395DEA"/>
    <w:rsid w:val="00395FAB"/>
    <w:rsid w:val="0039667D"/>
    <w:rsid w:val="00396B5D"/>
    <w:rsid w:val="00396E64"/>
    <w:rsid w:val="0039704D"/>
    <w:rsid w:val="003977B1"/>
    <w:rsid w:val="00397F66"/>
    <w:rsid w:val="003A033A"/>
    <w:rsid w:val="003A033D"/>
    <w:rsid w:val="003A0753"/>
    <w:rsid w:val="003A08AA"/>
    <w:rsid w:val="003A0A73"/>
    <w:rsid w:val="003A1562"/>
    <w:rsid w:val="003A177C"/>
    <w:rsid w:val="003A1907"/>
    <w:rsid w:val="003A21C8"/>
    <w:rsid w:val="003A2476"/>
    <w:rsid w:val="003A286A"/>
    <w:rsid w:val="003A2BAE"/>
    <w:rsid w:val="003A2C41"/>
    <w:rsid w:val="003A2C56"/>
    <w:rsid w:val="003A2CCB"/>
    <w:rsid w:val="003A33AA"/>
    <w:rsid w:val="003A3536"/>
    <w:rsid w:val="003A35EC"/>
    <w:rsid w:val="003A37D4"/>
    <w:rsid w:val="003A3B28"/>
    <w:rsid w:val="003A3D10"/>
    <w:rsid w:val="003A4508"/>
    <w:rsid w:val="003A455F"/>
    <w:rsid w:val="003A46DC"/>
    <w:rsid w:val="003A48EF"/>
    <w:rsid w:val="003A4B35"/>
    <w:rsid w:val="003A54CA"/>
    <w:rsid w:val="003A559B"/>
    <w:rsid w:val="003A57EE"/>
    <w:rsid w:val="003A58E7"/>
    <w:rsid w:val="003A5C71"/>
    <w:rsid w:val="003A639B"/>
    <w:rsid w:val="003A63CD"/>
    <w:rsid w:val="003A74D1"/>
    <w:rsid w:val="003A7661"/>
    <w:rsid w:val="003A7A28"/>
    <w:rsid w:val="003A7CB8"/>
    <w:rsid w:val="003A7CC6"/>
    <w:rsid w:val="003A7E2F"/>
    <w:rsid w:val="003B0221"/>
    <w:rsid w:val="003B028E"/>
    <w:rsid w:val="003B03A6"/>
    <w:rsid w:val="003B0451"/>
    <w:rsid w:val="003B04F5"/>
    <w:rsid w:val="003B0E33"/>
    <w:rsid w:val="003B0E77"/>
    <w:rsid w:val="003B0F6D"/>
    <w:rsid w:val="003B1375"/>
    <w:rsid w:val="003B15B3"/>
    <w:rsid w:val="003B1782"/>
    <w:rsid w:val="003B18BF"/>
    <w:rsid w:val="003B1B86"/>
    <w:rsid w:val="003B1BC6"/>
    <w:rsid w:val="003B23DF"/>
    <w:rsid w:val="003B2431"/>
    <w:rsid w:val="003B2460"/>
    <w:rsid w:val="003B2D87"/>
    <w:rsid w:val="003B2FDD"/>
    <w:rsid w:val="003B333E"/>
    <w:rsid w:val="003B3788"/>
    <w:rsid w:val="003B37A5"/>
    <w:rsid w:val="003B37C8"/>
    <w:rsid w:val="003B3AF7"/>
    <w:rsid w:val="003B454C"/>
    <w:rsid w:val="003B47C5"/>
    <w:rsid w:val="003B48C6"/>
    <w:rsid w:val="003B4A1D"/>
    <w:rsid w:val="003B4DA2"/>
    <w:rsid w:val="003B501C"/>
    <w:rsid w:val="003B53EC"/>
    <w:rsid w:val="003B5831"/>
    <w:rsid w:val="003B599A"/>
    <w:rsid w:val="003B5B05"/>
    <w:rsid w:val="003B5D21"/>
    <w:rsid w:val="003B5FD1"/>
    <w:rsid w:val="003B60B2"/>
    <w:rsid w:val="003B6407"/>
    <w:rsid w:val="003B680A"/>
    <w:rsid w:val="003B68D4"/>
    <w:rsid w:val="003B69D4"/>
    <w:rsid w:val="003B6BD9"/>
    <w:rsid w:val="003B6CDE"/>
    <w:rsid w:val="003B70F3"/>
    <w:rsid w:val="003B7568"/>
    <w:rsid w:val="003B7655"/>
    <w:rsid w:val="003B793B"/>
    <w:rsid w:val="003B7C4F"/>
    <w:rsid w:val="003B7F63"/>
    <w:rsid w:val="003C001C"/>
    <w:rsid w:val="003C04FD"/>
    <w:rsid w:val="003C0802"/>
    <w:rsid w:val="003C09FC"/>
    <w:rsid w:val="003C0BAE"/>
    <w:rsid w:val="003C0D51"/>
    <w:rsid w:val="003C0FBE"/>
    <w:rsid w:val="003C1334"/>
    <w:rsid w:val="003C149B"/>
    <w:rsid w:val="003C14A4"/>
    <w:rsid w:val="003C175C"/>
    <w:rsid w:val="003C17C8"/>
    <w:rsid w:val="003C1B20"/>
    <w:rsid w:val="003C26F2"/>
    <w:rsid w:val="003C270E"/>
    <w:rsid w:val="003C2E3D"/>
    <w:rsid w:val="003C2F8A"/>
    <w:rsid w:val="003C3183"/>
    <w:rsid w:val="003C36AC"/>
    <w:rsid w:val="003C393B"/>
    <w:rsid w:val="003C39A1"/>
    <w:rsid w:val="003C3A3A"/>
    <w:rsid w:val="003C3AE3"/>
    <w:rsid w:val="003C3B24"/>
    <w:rsid w:val="003C3B26"/>
    <w:rsid w:val="003C3CEB"/>
    <w:rsid w:val="003C3EDD"/>
    <w:rsid w:val="003C42C6"/>
    <w:rsid w:val="003C4835"/>
    <w:rsid w:val="003C4BB7"/>
    <w:rsid w:val="003C4CD5"/>
    <w:rsid w:val="003C4F22"/>
    <w:rsid w:val="003C4F2B"/>
    <w:rsid w:val="003C4F6A"/>
    <w:rsid w:val="003C520E"/>
    <w:rsid w:val="003C525A"/>
    <w:rsid w:val="003C5472"/>
    <w:rsid w:val="003C5A84"/>
    <w:rsid w:val="003C5AA7"/>
    <w:rsid w:val="003C5B78"/>
    <w:rsid w:val="003C5E60"/>
    <w:rsid w:val="003C61E2"/>
    <w:rsid w:val="003C630F"/>
    <w:rsid w:val="003C631A"/>
    <w:rsid w:val="003C6453"/>
    <w:rsid w:val="003C6E38"/>
    <w:rsid w:val="003C6EC1"/>
    <w:rsid w:val="003C70F6"/>
    <w:rsid w:val="003C7AEA"/>
    <w:rsid w:val="003C7BF8"/>
    <w:rsid w:val="003C7D5B"/>
    <w:rsid w:val="003C7FFC"/>
    <w:rsid w:val="003D0254"/>
    <w:rsid w:val="003D03AD"/>
    <w:rsid w:val="003D0423"/>
    <w:rsid w:val="003D051E"/>
    <w:rsid w:val="003D0A49"/>
    <w:rsid w:val="003D0BD8"/>
    <w:rsid w:val="003D0C2F"/>
    <w:rsid w:val="003D0D51"/>
    <w:rsid w:val="003D0FEC"/>
    <w:rsid w:val="003D134B"/>
    <w:rsid w:val="003D161B"/>
    <w:rsid w:val="003D166B"/>
    <w:rsid w:val="003D1E02"/>
    <w:rsid w:val="003D1F38"/>
    <w:rsid w:val="003D1F4A"/>
    <w:rsid w:val="003D2288"/>
    <w:rsid w:val="003D2A86"/>
    <w:rsid w:val="003D2B0A"/>
    <w:rsid w:val="003D2E94"/>
    <w:rsid w:val="003D2F07"/>
    <w:rsid w:val="003D2F41"/>
    <w:rsid w:val="003D2FFB"/>
    <w:rsid w:val="003D36CC"/>
    <w:rsid w:val="003D3908"/>
    <w:rsid w:val="003D3D0D"/>
    <w:rsid w:val="003D3F3A"/>
    <w:rsid w:val="003D4322"/>
    <w:rsid w:val="003D4585"/>
    <w:rsid w:val="003D46C2"/>
    <w:rsid w:val="003D4721"/>
    <w:rsid w:val="003D482F"/>
    <w:rsid w:val="003D4A87"/>
    <w:rsid w:val="003D4D80"/>
    <w:rsid w:val="003D508F"/>
    <w:rsid w:val="003D5972"/>
    <w:rsid w:val="003D5FC5"/>
    <w:rsid w:val="003D60E7"/>
    <w:rsid w:val="003D643A"/>
    <w:rsid w:val="003D6537"/>
    <w:rsid w:val="003D6785"/>
    <w:rsid w:val="003D6D1B"/>
    <w:rsid w:val="003D717D"/>
    <w:rsid w:val="003D74E1"/>
    <w:rsid w:val="003D7ABF"/>
    <w:rsid w:val="003D7D05"/>
    <w:rsid w:val="003E010D"/>
    <w:rsid w:val="003E0341"/>
    <w:rsid w:val="003E06C8"/>
    <w:rsid w:val="003E0906"/>
    <w:rsid w:val="003E0B24"/>
    <w:rsid w:val="003E0B7B"/>
    <w:rsid w:val="003E0EAB"/>
    <w:rsid w:val="003E1277"/>
    <w:rsid w:val="003E1638"/>
    <w:rsid w:val="003E180C"/>
    <w:rsid w:val="003E1C8A"/>
    <w:rsid w:val="003E1D5B"/>
    <w:rsid w:val="003E2012"/>
    <w:rsid w:val="003E207C"/>
    <w:rsid w:val="003E233E"/>
    <w:rsid w:val="003E2849"/>
    <w:rsid w:val="003E29C4"/>
    <w:rsid w:val="003E2BAF"/>
    <w:rsid w:val="003E2F2B"/>
    <w:rsid w:val="003E3027"/>
    <w:rsid w:val="003E33E5"/>
    <w:rsid w:val="003E3468"/>
    <w:rsid w:val="003E34CF"/>
    <w:rsid w:val="003E362A"/>
    <w:rsid w:val="003E376B"/>
    <w:rsid w:val="003E3771"/>
    <w:rsid w:val="003E3785"/>
    <w:rsid w:val="003E395A"/>
    <w:rsid w:val="003E3E2D"/>
    <w:rsid w:val="003E4088"/>
    <w:rsid w:val="003E483A"/>
    <w:rsid w:val="003E5168"/>
    <w:rsid w:val="003E53FA"/>
    <w:rsid w:val="003E55DD"/>
    <w:rsid w:val="003E55FA"/>
    <w:rsid w:val="003E5756"/>
    <w:rsid w:val="003E5778"/>
    <w:rsid w:val="003E5BEE"/>
    <w:rsid w:val="003E60A6"/>
    <w:rsid w:val="003E61FC"/>
    <w:rsid w:val="003E6660"/>
    <w:rsid w:val="003E6970"/>
    <w:rsid w:val="003E6EBD"/>
    <w:rsid w:val="003E6EEC"/>
    <w:rsid w:val="003E70EE"/>
    <w:rsid w:val="003E7196"/>
    <w:rsid w:val="003E79DB"/>
    <w:rsid w:val="003E7A2C"/>
    <w:rsid w:val="003E7C29"/>
    <w:rsid w:val="003E7C55"/>
    <w:rsid w:val="003E7C8F"/>
    <w:rsid w:val="003F010C"/>
    <w:rsid w:val="003F06BA"/>
    <w:rsid w:val="003F06E8"/>
    <w:rsid w:val="003F07A8"/>
    <w:rsid w:val="003F0A40"/>
    <w:rsid w:val="003F0BFA"/>
    <w:rsid w:val="003F0EE8"/>
    <w:rsid w:val="003F13E3"/>
    <w:rsid w:val="003F1478"/>
    <w:rsid w:val="003F172F"/>
    <w:rsid w:val="003F1996"/>
    <w:rsid w:val="003F1A2A"/>
    <w:rsid w:val="003F1C5D"/>
    <w:rsid w:val="003F2021"/>
    <w:rsid w:val="003F207B"/>
    <w:rsid w:val="003F21A3"/>
    <w:rsid w:val="003F25F2"/>
    <w:rsid w:val="003F34B5"/>
    <w:rsid w:val="003F3578"/>
    <w:rsid w:val="003F3B09"/>
    <w:rsid w:val="003F3C9E"/>
    <w:rsid w:val="003F3D5C"/>
    <w:rsid w:val="003F3DB5"/>
    <w:rsid w:val="003F3DBA"/>
    <w:rsid w:val="003F3E9B"/>
    <w:rsid w:val="003F3EFC"/>
    <w:rsid w:val="003F415E"/>
    <w:rsid w:val="003F4235"/>
    <w:rsid w:val="003F4272"/>
    <w:rsid w:val="003F4458"/>
    <w:rsid w:val="003F454E"/>
    <w:rsid w:val="003F4786"/>
    <w:rsid w:val="003F50D6"/>
    <w:rsid w:val="003F5780"/>
    <w:rsid w:val="003F5782"/>
    <w:rsid w:val="003F5BCE"/>
    <w:rsid w:val="003F5F2C"/>
    <w:rsid w:val="003F5F46"/>
    <w:rsid w:val="003F5FA0"/>
    <w:rsid w:val="003F6B9B"/>
    <w:rsid w:val="003F6BD9"/>
    <w:rsid w:val="003F7692"/>
    <w:rsid w:val="003F7D42"/>
    <w:rsid w:val="003F7F6E"/>
    <w:rsid w:val="0040040E"/>
    <w:rsid w:val="004006CE"/>
    <w:rsid w:val="004008FA"/>
    <w:rsid w:val="00400924"/>
    <w:rsid w:val="00400A61"/>
    <w:rsid w:val="00400D30"/>
    <w:rsid w:val="00400D5A"/>
    <w:rsid w:val="00401BB2"/>
    <w:rsid w:val="00402593"/>
    <w:rsid w:val="00402A0D"/>
    <w:rsid w:val="00402B2C"/>
    <w:rsid w:val="0040367C"/>
    <w:rsid w:val="00403AE5"/>
    <w:rsid w:val="00403C3E"/>
    <w:rsid w:val="00403DCC"/>
    <w:rsid w:val="00403DE7"/>
    <w:rsid w:val="00403F7B"/>
    <w:rsid w:val="0040431E"/>
    <w:rsid w:val="00404796"/>
    <w:rsid w:val="00404977"/>
    <w:rsid w:val="00404985"/>
    <w:rsid w:val="00404B6F"/>
    <w:rsid w:val="00404DA0"/>
    <w:rsid w:val="00404E67"/>
    <w:rsid w:val="0040530C"/>
    <w:rsid w:val="004054B8"/>
    <w:rsid w:val="00405502"/>
    <w:rsid w:val="00405DC4"/>
    <w:rsid w:val="004065F6"/>
    <w:rsid w:val="00406D18"/>
    <w:rsid w:val="0040703C"/>
    <w:rsid w:val="0040705F"/>
    <w:rsid w:val="004071FF"/>
    <w:rsid w:val="00410099"/>
    <w:rsid w:val="0041013D"/>
    <w:rsid w:val="004101AD"/>
    <w:rsid w:val="0041061A"/>
    <w:rsid w:val="00410EE5"/>
    <w:rsid w:val="0041189A"/>
    <w:rsid w:val="00412399"/>
    <w:rsid w:val="00412C5F"/>
    <w:rsid w:val="00412E2A"/>
    <w:rsid w:val="00412F5B"/>
    <w:rsid w:val="0041355E"/>
    <w:rsid w:val="004138F0"/>
    <w:rsid w:val="00413C46"/>
    <w:rsid w:val="004140DE"/>
    <w:rsid w:val="00414711"/>
    <w:rsid w:val="004147EF"/>
    <w:rsid w:val="00414C99"/>
    <w:rsid w:val="00414EDC"/>
    <w:rsid w:val="00415030"/>
    <w:rsid w:val="0041503E"/>
    <w:rsid w:val="00415323"/>
    <w:rsid w:val="00415371"/>
    <w:rsid w:val="00415924"/>
    <w:rsid w:val="00415AA5"/>
    <w:rsid w:val="00415BD1"/>
    <w:rsid w:val="004164CD"/>
    <w:rsid w:val="00416515"/>
    <w:rsid w:val="004165BA"/>
    <w:rsid w:val="00416797"/>
    <w:rsid w:val="00416AE3"/>
    <w:rsid w:val="00417003"/>
    <w:rsid w:val="0041705F"/>
    <w:rsid w:val="004172E0"/>
    <w:rsid w:val="004173E0"/>
    <w:rsid w:val="00417468"/>
    <w:rsid w:val="00417B3A"/>
    <w:rsid w:val="00420053"/>
    <w:rsid w:val="00420256"/>
    <w:rsid w:val="00420434"/>
    <w:rsid w:val="00420BBB"/>
    <w:rsid w:val="00420C52"/>
    <w:rsid w:val="00420D37"/>
    <w:rsid w:val="004211F1"/>
    <w:rsid w:val="004217FA"/>
    <w:rsid w:val="00421835"/>
    <w:rsid w:val="00421895"/>
    <w:rsid w:val="00421942"/>
    <w:rsid w:val="00421BF5"/>
    <w:rsid w:val="00421E07"/>
    <w:rsid w:val="0042209F"/>
    <w:rsid w:val="004228E0"/>
    <w:rsid w:val="00422CB4"/>
    <w:rsid w:val="00422EBE"/>
    <w:rsid w:val="00422F13"/>
    <w:rsid w:val="0042316D"/>
    <w:rsid w:val="004231E1"/>
    <w:rsid w:val="004234DC"/>
    <w:rsid w:val="004236BB"/>
    <w:rsid w:val="004239C0"/>
    <w:rsid w:val="00423B65"/>
    <w:rsid w:val="00423BC4"/>
    <w:rsid w:val="00423F06"/>
    <w:rsid w:val="0042445F"/>
    <w:rsid w:val="00424731"/>
    <w:rsid w:val="00424B9C"/>
    <w:rsid w:val="00424C43"/>
    <w:rsid w:val="00424D5D"/>
    <w:rsid w:val="00425357"/>
    <w:rsid w:val="00425563"/>
    <w:rsid w:val="004255DA"/>
    <w:rsid w:val="00425C56"/>
    <w:rsid w:val="0042604E"/>
    <w:rsid w:val="004260A0"/>
    <w:rsid w:val="00426D59"/>
    <w:rsid w:val="00427167"/>
    <w:rsid w:val="004273FB"/>
    <w:rsid w:val="004275E1"/>
    <w:rsid w:val="00427683"/>
    <w:rsid w:val="004278C4"/>
    <w:rsid w:val="0042799C"/>
    <w:rsid w:val="00427B77"/>
    <w:rsid w:val="00427CD6"/>
    <w:rsid w:val="00427CF5"/>
    <w:rsid w:val="00430808"/>
    <w:rsid w:val="00430C98"/>
    <w:rsid w:val="00430D17"/>
    <w:rsid w:val="00430EED"/>
    <w:rsid w:val="004315C1"/>
    <w:rsid w:val="00431652"/>
    <w:rsid w:val="004316D0"/>
    <w:rsid w:val="00431A4E"/>
    <w:rsid w:val="00431E94"/>
    <w:rsid w:val="00431F4C"/>
    <w:rsid w:val="0043206C"/>
    <w:rsid w:val="00432155"/>
    <w:rsid w:val="00432238"/>
    <w:rsid w:val="00432423"/>
    <w:rsid w:val="0043263A"/>
    <w:rsid w:val="0043324C"/>
    <w:rsid w:val="004335EA"/>
    <w:rsid w:val="004337DC"/>
    <w:rsid w:val="004337E4"/>
    <w:rsid w:val="00433881"/>
    <w:rsid w:val="004341FA"/>
    <w:rsid w:val="00434207"/>
    <w:rsid w:val="00434278"/>
    <w:rsid w:val="00434405"/>
    <w:rsid w:val="0043464A"/>
    <w:rsid w:val="00434B9A"/>
    <w:rsid w:val="00434BB7"/>
    <w:rsid w:val="00434BE4"/>
    <w:rsid w:val="00434CEE"/>
    <w:rsid w:val="00434D99"/>
    <w:rsid w:val="0043517C"/>
    <w:rsid w:val="00435494"/>
    <w:rsid w:val="0043554D"/>
    <w:rsid w:val="0043560F"/>
    <w:rsid w:val="00435A32"/>
    <w:rsid w:val="00435C2C"/>
    <w:rsid w:val="00435F66"/>
    <w:rsid w:val="004361F0"/>
    <w:rsid w:val="0043623B"/>
    <w:rsid w:val="004369E2"/>
    <w:rsid w:val="004369EF"/>
    <w:rsid w:val="00436BD0"/>
    <w:rsid w:val="0043731C"/>
    <w:rsid w:val="004373FD"/>
    <w:rsid w:val="0043743B"/>
    <w:rsid w:val="00437497"/>
    <w:rsid w:val="00437A67"/>
    <w:rsid w:val="00437D14"/>
    <w:rsid w:val="00437EAB"/>
    <w:rsid w:val="0044014C"/>
    <w:rsid w:val="00440156"/>
    <w:rsid w:val="004404A9"/>
    <w:rsid w:val="00440745"/>
    <w:rsid w:val="0044081C"/>
    <w:rsid w:val="00440AEB"/>
    <w:rsid w:val="00440CB7"/>
    <w:rsid w:val="00440E78"/>
    <w:rsid w:val="00440E86"/>
    <w:rsid w:val="00440F31"/>
    <w:rsid w:val="004417D7"/>
    <w:rsid w:val="00441811"/>
    <w:rsid w:val="00441A2A"/>
    <w:rsid w:val="00441A46"/>
    <w:rsid w:val="00441A9A"/>
    <w:rsid w:val="004424E1"/>
    <w:rsid w:val="00442515"/>
    <w:rsid w:val="00442B21"/>
    <w:rsid w:val="00443161"/>
    <w:rsid w:val="00443371"/>
    <w:rsid w:val="004435B9"/>
    <w:rsid w:val="00443638"/>
    <w:rsid w:val="0044378D"/>
    <w:rsid w:val="00443885"/>
    <w:rsid w:val="00443AF4"/>
    <w:rsid w:val="00443EF8"/>
    <w:rsid w:val="00444A4A"/>
    <w:rsid w:val="00444C61"/>
    <w:rsid w:val="0044516D"/>
    <w:rsid w:val="00445190"/>
    <w:rsid w:val="00445902"/>
    <w:rsid w:val="00445BF0"/>
    <w:rsid w:val="0044610E"/>
    <w:rsid w:val="00446535"/>
    <w:rsid w:val="00446549"/>
    <w:rsid w:val="0044670A"/>
    <w:rsid w:val="004467C1"/>
    <w:rsid w:val="00446B65"/>
    <w:rsid w:val="00446C77"/>
    <w:rsid w:val="00446D70"/>
    <w:rsid w:val="00446FCE"/>
    <w:rsid w:val="00447777"/>
    <w:rsid w:val="00447844"/>
    <w:rsid w:val="00447C78"/>
    <w:rsid w:val="00447CF8"/>
    <w:rsid w:val="00450184"/>
    <w:rsid w:val="004502B9"/>
    <w:rsid w:val="00450B89"/>
    <w:rsid w:val="00450F16"/>
    <w:rsid w:val="00451058"/>
    <w:rsid w:val="0045118F"/>
    <w:rsid w:val="00451739"/>
    <w:rsid w:val="004518C0"/>
    <w:rsid w:val="00451D86"/>
    <w:rsid w:val="00452321"/>
    <w:rsid w:val="00452D93"/>
    <w:rsid w:val="00453355"/>
    <w:rsid w:val="00453723"/>
    <w:rsid w:val="00453776"/>
    <w:rsid w:val="0045378D"/>
    <w:rsid w:val="004539BE"/>
    <w:rsid w:val="00453A8E"/>
    <w:rsid w:val="004544AF"/>
    <w:rsid w:val="004545EF"/>
    <w:rsid w:val="00454800"/>
    <w:rsid w:val="00454831"/>
    <w:rsid w:val="00454BEC"/>
    <w:rsid w:val="00454DA2"/>
    <w:rsid w:val="00455480"/>
    <w:rsid w:val="00455486"/>
    <w:rsid w:val="0045559A"/>
    <w:rsid w:val="0045575A"/>
    <w:rsid w:val="00455DAC"/>
    <w:rsid w:val="00456095"/>
    <w:rsid w:val="004560D3"/>
    <w:rsid w:val="0045623B"/>
    <w:rsid w:val="0045638A"/>
    <w:rsid w:val="00456759"/>
    <w:rsid w:val="00456D9B"/>
    <w:rsid w:val="00456F4D"/>
    <w:rsid w:val="0045730E"/>
    <w:rsid w:val="004576B0"/>
    <w:rsid w:val="00457B4B"/>
    <w:rsid w:val="00457E33"/>
    <w:rsid w:val="004602CB"/>
    <w:rsid w:val="004603DE"/>
    <w:rsid w:val="004604A3"/>
    <w:rsid w:val="00460640"/>
    <w:rsid w:val="0046075C"/>
    <w:rsid w:val="00460980"/>
    <w:rsid w:val="00460C37"/>
    <w:rsid w:val="00460C51"/>
    <w:rsid w:val="00460C69"/>
    <w:rsid w:val="0046101E"/>
    <w:rsid w:val="00461377"/>
    <w:rsid w:val="0046138B"/>
    <w:rsid w:val="004613DC"/>
    <w:rsid w:val="0046143F"/>
    <w:rsid w:val="00461493"/>
    <w:rsid w:val="00461985"/>
    <w:rsid w:val="00461A93"/>
    <w:rsid w:val="00461BC2"/>
    <w:rsid w:val="00461CBD"/>
    <w:rsid w:val="00461E96"/>
    <w:rsid w:val="00462102"/>
    <w:rsid w:val="0046234A"/>
    <w:rsid w:val="0046249E"/>
    <w:rsid w:val="00462891"/>
    <w:rsid w:val="00462A03"/>
    <w:rsid w:val="00462A47"/>
    <w:rsid w:val="00462AE3"/>
    <w:rsid w:val="00462B85"/>
    <w:rsid w:val="00462BBF"/>
    <w:rsid w:val="00462E81"/>
    <w:rsid w:val="00462F92"/>
    <w:rsid w:val="0046374B"/>
    <w:rsid w:val="00463BF6"/>
    <w:rsid w:val="00463D5E"/>
    <w:rsid w:val="0046416F"/>
    <w:rsid w:val="004646DA"/>
    <w:rsid w:val="00464AC0"/>
    <w:rsid w:val="00464C7F"/>
    <w:rsid w:val="00464F47"/>
    <w:rsid w:val="00464F91"/>
    <w:rsid w:val="0046505B"/>
    <w:rsid w:val="004650B0"/>
    <w:rsid w:val="004651C7"/>
    <w:rsid w:val="0046534B"/>
    <w:rsid w:val="00465591"/>
    <w:rsid w:val="0046605F"/>
    <w:rsid w:val="004660FC"/>
    <w:rsid w:val="00466337"/>
    <w:rsid w:val="004664CA"/>
    <w:rsid w:val="00466550"/>
    <w:rsid w:val="004668BD"/>
    <w:rsid w:val="00466907"/>
    <w:rsid w:val="00466CB1"/>
    <w:rsid w:val="00466E6E"/>
    <w:rsid w:val="00466FDF"/>
    <w:rsid w:val="004701AC"/>
    <w:rsid w:val="004701F4"/>
    <w:rsid w:val="0047025A"/>
    <w:rsid w:val="00470725"/>
    <w:rsid w:val="00470732"/>
    <w:rsid w:val="004708AD"/>
    <w:rsid w:val="00470AC4"/>
    <w:rsid w:val="00470B8C"/>
    <w:rsid w:val="00470C7E"/>
    <w:rsid w:val="0047120D"/>
    <w:rsid w:val="0047129B"/>
    <w:rsid w:val="00472129"/>
    <w:rsid w:val="004727BF"/>
    <w:rsid w:val="00472B0A"/>
    <w:rsid w:val="00472C4F"/>
    <w:rsid w:val="00472C94"/>
    <w:rsid w:val="00473020"/>
    <w:rsid w:val="004733E8"/>
    <w:rsid w:val="004736E5"/>
    <w:rsid w:val="0047370B"/>
    <w:rsid w:val="00474911"/>
    <w:rsid w:val="00474938"/>
    <w:rsid w:val="00474E5F"/>
    <w:rsid w:val="0047529F"/>
    <w:rsid w:val="0047554A"/>
    <w:rsid w:val="004756DB"/>
    <w:rsid w:val="004757A8"/>
    <w:rsid w:val="004767BD"/>
    <w:rsid w:val="0047684B"/>
    <w:rsid w:val="00476CB5"/>
    <w:rsid w:val="00477008"/>
    <w:rsid w:val="004770AF"/>
    <w:rsid w:val="00477285"/>
    <w:rsid w:val="004772E3"/>
    <w:rsid w:val="00477947"/>
    <w:rsid w:val="00477A50"/>
    <w:rsid w:val="00477E27"/>
    <w:rsid w:val="00477ED1"/>
    <w:rsid w:val="00480498"/>
    <w:rsid w:val="0048066D"/>
    <w:rsid w:val="004806B1"/>
    <w:rsid w:val="00480761"/>
    <w:rsid w:val="00480846"/>
    <w:rsid w:val="00480E38"/>
    <w:rsid w:val="00481F63"/>
    <w:rsid w:val="00481FA9"/>
    <w:rsid w:val="0048240C"/>
    <w:rsid w:val="004828AD"/>
    <w:rsid w:val="00482A40"/>
    <w:rsid w:val="00482D45"/>
    <w:rsid w:val="00483090"/>
    <w:rsid w:val="00483434"/>
    <w:rsid w:val="0048343B"/>
    <w:rsid w:val="0048348D"/>
    <w:rsid w:val="00483CCB"/>
    <w:rsid w:val="00483EB0"/>
    <w:rsid w:val="004852F2"/>
    <w:rsid w:val="00485450"/>
    <w:rsid w:val="00485848"/>
    <w:rsid w:val="00485985"/>
    <w:rsid w:val="00485E2B"/>
    <w:rsid w:val="0048620C"/>
    <w:rsid w:val="00486357"/>
    <w:rsid w:val="0048637D"/>
    <w:rsid w:val="00486562"/>
    <w:rsid w:val="004866F3"/>
    <w:rsid w:val="0048697A"/>
    <w:rsid w:val="004869F7"/>
    <w:rsid w:val="00486DBF"/>
    <w:rsid w:val="004872BE"/>
    <w:rsid w:val="0048756E"/>
    <w:rsid w:val="00487696"/>
    <w:rsid w:val="00487D90"/>
    <w:rsid w:val="00487F05"/>
    <w:rsid w:val="004902B3"/>
    <w:rsid w:val="0049075A"/>
    <w:rsid w:val="00490812"/>
    <w:rsid w:val="0049094C"/>
    <w:rsid w:val="00490D16"/>
    <w:rsid w:val="0049149C"/>
    <w:rsid w:val="004915A5"/>
    <w:rsid w:val="004915B1"/>
    <w:rsid w:val="0049168C"/>
    <w:rsid w:val="004917E9"/>
    <w:rsid w:val="00491974"/>
    <w:rsid w:val="004919D9"/>
    <w:rsid w:val="004919ED"/>
    <w:rsid w:val="00491ED7"/>
    <w:rsid w:val="00491EFF"/>
    <w:rsid w:val="004929C8"/>
    <w:rsid w:val="00492B9A"/>
    <w:rsid w:val="00492BFA"/>
    <w:rsid w:val="00492EB6"/>
    <w:rsid w:val="00492F19"/>
    <w:rsid w:val="004930F0"/>
    <w:rsid w:val="00493177"/>
    <w:rsid w:val="004932F2"/>
    <w:rsid w:val="00493BCA"/>
    <w:rsid w:val="00493CC3"/>
    <w:rsid w:val="00493E80"/>
    <w:rsid w:val="00493FCB"/>
    <w:rsid w:val="004940AB"/>
    <w:rsid w:val="004940D6"/>
    <w:rsid w:val="0049425C"/>
    <w:rsid w:val="00494EA0"/>
    <w:rsid w:val="00494F79"/>
    <w:rsid w:val="004951B9"/>
    <w:rsid w:val="00495241"/>
    <w:rsid w:val="004955B0"/>
    <w:rsid w:val="004957EE"/>
    <w:rsid w:val="0049594C"/>
    <w:rsid w:val="00495B04"/>
    <w:rsid w:val="00495BB1"/>
    <w:rsid w:val="00495F08"/>
    <w:rsid w:val="00496288"/>
    <w:rsid w:val="004963B9"/>
    <w:rsid w:val="0049648A"/>
    <w:rsid w:val="004969A1"/>
    <w:rsid w:val="00496C80"/>
    <w:rsid w:val="0049708E"/>
    <w:rsid w:val="00497516"/>
    <w:rsid w:val="004976D3"/>
    <w:rsid w:val="00497BF7"/>
    <w:rsid w:val="004A0343"/>
    <w:rsid w:val="004A0374"/>
    <w:rsid w:val="004A03A9"/>
    <w:rsid w:val="004A042D"/>
    <w:rsid w:val="004A0946"/>
    <w:rsid w:val="004A097E"/>
    <w:rsid w:val="004A0E5D"/>
    <w:rsid w:val="004A1200"/>
    <w:rsid w:val="004A12D2"/>
    <w:rsid w:val="004A192A"/>
    <w:rsid w:val="004A216D"/>
    <w:rsid w:val="004A253A"/>
    <w:rsid w:val="004A2699"/>
    <w:rsid w:val="004A277C"/>
    <w:rsid w:val="004A2AF1"/>
    <w:rsid w:val="004A2B74"/>
    <w:rsid w:val="004A2B8D"/>
    <w:rsid w:val="004A2DF5"/>
    <w:rsid w:val="004A2F2C"/>
    <w:rsid w:val="004A2F5C"/>
    <w:rsid w:val="004A2FD8"/>
    <w:rsid w:val="004A3158"/>
    <w:rsid w:val="004A318E"/>
    <w:rsid w:val="004A3590"/>
    <w:rsid w:val="004A36A8"/>
    <w:rsid w:val="004A37EE"/>
    <w:rsid w:val="004A380F"/>
    <w:rsid w:val="004A3D72"/>
    <w:rsid w:val="004A3D7F"/>
    <w:rsid w:val="004A44B8"/>
    <w:rsid w:val="004A44FE"/>
    <w:rsid w:val="004A47B0"/>
    <w:rsid w:val="004A47EA"/>
    <w:rsid w:val="004A48EC"/>
    <w:rsid w:val="004A4FC8"/>
    <w:rsid w:val="004A5165"/>
    <w:rsid w:val="004A58DC"/>
    <w:rsid w:val="004A5AC2"/>
    <w:rsid w:val="004A5C8A"/>
    <w:rsid w:val="004A5CC2"/>
    <w:rsid w:val="004A5DC5"/>
    <w:rsid w:val="004A5E65"/>
    <w:rsid w:val="004A607C"/>
    <w:rsid w:val="004A63F4"/>
    <w:rsid w:val="004A6470"/>
    <w:rsid w:val="004A64C7"/>
    <w:rsid w:val="004A6595"/>
    <w:rsid w:val="004A6962"/>
    <w:rsid w:val="004A6E63"/>
    <w:rsid w:val="004A7111"/>
    <w:rsid w:val="004A713A"/>
    <w:rsid w:val="004A715D"/>
    <w:rsid w:val="004A78ED"/>
    <w:rsid w:val="004A7A4B"/>
    <w:rsid w:val="004A7AF1"/>
    <w:rsid w:val="004A7B8C"/>
    <w:rsid w:val="004A7D99"/>
    <w:rsid w:val="004A7FCB"/>
    <w:rsid w:val="004B013E"/>
    <w:rsid w:val="004B04D0"/>
    <w:rsid w:val="004B06E7"/>
    <w:rsid w:val="004B07B2"/>
    <w:rsid w:val="004B11A2"/>
    <w:rsid w:val="004B1291"/>
    <w:rsid w:val="004B1424"/>
    <w:rsid w:val="004B1817"/>
    <w:rsid w:val="004B1ACE"/>
    <w:rsid w:val="004B1B37"/>
    <w:rsid w:val="004B1CA2"/>
    <w:rsid w:val="004B1E14"/>
    <w:rsid w:val="004B1EF3"/>
    <w:rsid w:val="004B1F12"/>
    <w:rsid w:val="004B21F5"/>
    <w:rsid w:val="004B2232"/>
    <w:rsid w:val="004B2DA7"/>
    <w:rsid w:val="004B2DCC"/>
    <w:rsid w:val="004B2EF3"/>
    <w:rsid w:val="004B300F"/>
    <w:rsid w:val="004B308D"/>
    <w:rsid w:val="004B35D8"/>
    <w:rsid w:val="004B37C3"/>
    <w:rsid w:val="004B3D36"/>
    <w:rsid w:val="004B3D41"/>
    <w:rsid w:val="004B3E27"/>
    <w:rsid w:val="004B4220"/>
    <w:rsid w:val="004B4221"/>
    <w:rsid w:val="004B42A7"/>
    <w:rsid w:val="004B46EE"/>
    <w:rsid w:val="004B5022"/>
    <w:rsid w:val="004B52A1"/>
    <w:rsid w:val="004B53D5"/>
    <w:rsid w:val="004B55A4"/>
    <w:rsid w:val="004B56CA"/>
    <w:rsid w:val="004B620F"/>
    <w:rsid w:val="004B63CA"/>
    <w:rsid w:val="004B63F6"/>
    <w:rsid w:val="004B67FF"/>
    <w:rsid w:val="004B696B"/>
    <w:rsid w:val="004B6F82"/>
    <w:rsid w:val="004B7034"/>
    <w:rsid w:val="004B73D6"/>
    <w:rsid w:val="004B776A"/>
    <w:rsid w:val="004B7890"/>
    <w:rsid w:val="004B79AD"/>
    <w:rsid w:val="004B7DC1"/>
    <w:rsid w:val="004B7F1C"/>
    <w:rsid w:val="004C040E"/>
    <w:rsid w:val="004C0427"/>
    <w:rsid w:val="004C0707"/>
    <w:rsid w:val="004C07CD"/>
    <w:rsid w:val="004C0EF1"/>
    <w:rsid w:val="004C1015"/>
    <w:rsid w:val="004C141C"/>
    <w:rsid w:val="004C146B"/>
    <w:rsid w:val="004C180A"/>
    <w:rsid w:val="004C181C"/>
    <w:rsid w:val="004C1C56"/>
    <w:rsid w:val="004C1EAD"/>
    <w:rsid w:val="004C1FCE"/>
    <w:rsid w:val="004C20D7"/>
    <w:rsid w:val="004C2368"/>
    <w:rsid w:val="004C23E0"/>
    <w:rsid w:val="004C25E0"/>
    <w:rsid w:val="004C27D1"/>
    <w:rsid w:val="004C286F"/>
    <w:rsid w:val="004C29C9"/>
    <w:rsid w:val="004C2EFD"/>
    <w:rsid w:val="004C317A"/>
    <w:rsid w:val="004C3430"/>
    <w:rsid w:val="004C4137"/>
    <w:rsid w:val="004C44AB"/>
    <w:rsid w:val="004C4500"/>
    <w:rsid w:val="004C4D82"/>
    <w:rsid w:val="004C4FDE"/>
    <w:rsid w:val="004C5201"/>
    <w:rsid w:val="004C521E"/>
    <w:rsid w:val="004C5298"/>
    <w:rsid w:val="004C5538"/>
    <w:rsid w:val="004C556F"/>
    <w:rsid w:val="004C557E"/>
    <w:rsid w:val="004C5C3D"/>
    <w:rsid w:val="004C610E"/>
    <w:rsid w:val="004C620E"/>
    <w:rsid w:val="004C66B0"/>
    <w:rsid w:val="004C6922"/>
    <w:rsid w:val="004C6CCE"/>
    <w:rsid w:val="004C6D10"/>
    <w:rsid w:val="004C6D36"/>
    <w:rsid w:val="004C7CE5"/>
    <w:rsid w:val="004D01B9"/>
    <w:rsid w:val="004D055E"/>
    <w:rsid w:val="004D06D7"/>
    <w:rsid w:val="004D0793"/>
    <w:rsid w:val="004D0C57"/>
    <w:rsid w:val="004D1307"/>
    <w:rsid w:val="004D14D6"/>
    <w:rsid w:val="004D17D1"/>
    <w:rsid w:val="004D181C"/>
    <w:rsid w:val="004D19FD"/>
    <w:rsid w:val="004D1D15"/>
    <w:rsid w:val="004D2241"/>
    <w:rsid w:val="004D240C"/>
    <w:rsid w:val="004D289C"/>
    <w:rsid w:val="004D2A55"/>
    <w:rsid w:val="004D2F29"/>
    <w:rsid w:val="004D2FE7"/>
    <w:rsid w:val="004D33E9"/>
    <w:rsid w:val="004D35B5"/>
    <w:rsid w:val="004D36EA"/>
    <w:rsid w:val="004D37C6"/>
    <w:rsid w:val="004D3C71"/>
    <w:rsid w:val="004D3D2E"/>
    <w:rsid w:val="004D3EFC"/>
    <w:rsid w:val="004D43D7"/>
    <w:rsid w:val="004D4463"/>
    <w:rsid w:val="004D45ED"/>
    <w:rsid w:val="004D4718"/>
    <w:rsid w:val="004D47D8"/>
    <w:rsid w:val="004D4BC7"/>
    <w:rsid w:val="004D50EE"/>
    <w:rsid w:val="004D5133"/>
    <w:rsid w:val="004D562A"/>
    <w:rsid w:val="004D56C9"/>
    <w:rsid w:val="004D59F2"/>
    <w:rsid w:val="004D5C9E"/>
    <w:rsid w:val="004D64E1"/>
    <w:rsid w:val="004D6881"/>
    <w:rsid w:val="004D6ACD"/>
    <w:rsid w:val="004D6C45"/>
    <w:rsid w:val="004D6ED9"/>
    <w:rsid w:val="004D6FC7"/>
    <w:rsid w:val="004D7256"/>
    <w:rsid w:val="004D7504"/>
    <w:rsid w:val="004D76F4"/>
    <w:rsid w:val="004D7953"/>
    <w:rsid w:val="004D7B50"/>
    <w:rsid w:val="004D7B83"/>
    <w:rsid w:val="004D7BDD"/>
    <w:rsid w:val="004D7D14"/>
    <w:rsid w:val="004D7DD7"/>
    <w:rsid w:val="004D7DFF"/>
    <w:rsid w:val="004D7E94"/>
    <w:rsid w:val="004D7F21"/>
    <w:rsid w:val="004E0055"/>
    <w:rsid w:val="004E008A"/>
    <w:rsid w:val="004E07D5"/>
    <w:rsid w:val="004E07E5"/>
    <w:rsid w:val="004E0921"/>
    <w:rsid w:val="004E0A0D"/>
    <w:rsid w:val="004E1118"/>
    <w:rsid w:val="004E11FC"/>
    <w:rsid w:val="004E13B0"/>
    <w:rsid w:val="004E1436"/>
    <w:rsid w:val="004E1ACD"/>
    <w:rsid w:val="004E1B41"/>
    <w:rsid w:val="004E1E6A"/>
    <w:rsid w:val="004E223E"/>
    <w:rsid w:val="004E238C"/>
    <w:rsid w:val="004E2887"/>
    <w:rsid w:val="004E28C0"/>
    <w:rsid w:val="004E29B5"/>
    <w:rsid w:val="004E2BFE"/>
    <w:rsid w:val="004E2C17"/>
    <w:rsid w:val="004E2D24"/>
    <w:rsid w:val="004E3782"/>
    <w:rsid w:val="004E3F05"/>
    <w:rsid w:val="004E3F63"/>
    <w:rsid w:val="004E40AF"/>
    <w:rsid w:val="004E4996"/>
    <w:rsid w:val="004E4CA7"/>
    <w:rsid w:val="004E4D08"/>
    <w:rsid w:val="004E4EAB"/>
    <w:rsid w:val="004E5703"/>
    <w:rsid w:val="004E57B0"/>
    <w:rsid w:val="004E6175"/>
    <w:rsid w:val="004E62E8"/>
    <w:rsid w:val="004E65DC"/>
    <w:rsid w:val="004E66F2"/>
    <w:rsid w:val="004E6BDC"/>
    <w:rsid w:val="004E6F61"/>
    <w:rsid w:val="004E75E5"/>
    <w:rsid w:val="004E7637"/>
    <w:rsid w:val="004E7BEA"/>
    <w:rsid w:val="004E7C20"/>
    <w:rsid w:val="004E7CBE"/>
    <w:rsid w:val="004E7F8C"/>
    <w:rsid w:val="004E7FF7"/>
    <w:rsid w:val="004F034F"/>
    <w:rsid w:val="004F0575"/>
    <w:rsid w:val="004F05F0"/>
    <w:rsid w:val="004F11F2"/>
    <w:rsid w:val="004F11F6"/>
    <w:rsid w:val="004F1600"/>
    <w:rsid w:val="004F1836"/>
    <w:rsid w:val="004F18FD"/>
    <w:rsid w:val="004F191C"/>
    <w:rsid w:val="004F2245"/>
    <w:rsid w:val="004F2EC7"/>
    <w:rsid w:val="004F2F92"/>
    <w:rsid w:val="004F31EB"/>
    <w:rsid w:val="004F3594"/>
    <w:rsid w:val="004F3A16"/>
    <w:rsid w:val="004F3B20"/>
    <w:rsid w:val="004F3D35"/>
    <w:rsid w:val="004F3FEC"/>
    <w:rsid w:val="004F4876"/>
    <w:rsid w:val="004F4B4A"/>
    <w:rsid w:val="004F4B76"/>
    <w:rsid w:val="004F4BC1"/>
    <w:rsid w:val="004F53F8"/>
    <w:rsid w:val="004F58FC"/>
    <w:rsid w:val="004F5B66"/>
    <w:rsid w:val="004F5C11"/>
    <w:rsid w:val="004F5D31"/>
    <w:rsid w:val="004F60D8"/>
    <w:rsid w:val="004F6142"/>
    <w:rsid w:val="004F61C3"/>
    <w:rsid w:val="004F61DF"/>
    <w:rsid w:val="004F6644"/>
    <w:rsid w:val="004F67FC"/>
    <w:rsid w:val="004F6C65"/>
    <w:rsid w:val="004F6CF5"/>
    <w:rsid w:val="004F6E7B"/>
    <w:rsid w:val="004F7102"/>
    <w:rsid w:val="004F716D"/>
    <w:rsid w:val="004F754B"/>
    <w:rsid w:val="004F785C"/>
    <w:rsid w:val="005000BC"/>
    <w:rsid w:val="005002A3"/>
    <w:rsid w:val="00500615"/>
    <w:rsid w:val="00500A50"/>
    <w:rsid w:val="00500E60"/>
    <w:rsid w:val="00500F5C"/>
    <w:rsid w:val="00501240"/>
    <w:rsid w:val="00501279"/>
    <w:rsid w:val="00501732"/>
    <w:rsid w:val="00501789"/>
    <w:rsid w:val="005017D1"/>
    <w:rsid w:val="0050185F"/>
    <w:rsid w:val="00501860"/>
    <w:rsid w:val="00501B5C"/>
    <w:rsid w:val="0050241D"/>
    <w:rsid w:val="00502472"/>
    <w:rsid w:val="0050256F"/>
    <w:rsid w:val="005025CD"/>
    <w:rsid w:val="00502E9B"/>
    <w:rsid w:val="00502FD5"/>
    <w:rsid w:val="00503480"/>
    <w:rsid w:val="00503486"/>
    <w:rsid w:val="00503601"/>
    <w:rsid w:val="00503E2F"/>
    <w:rsid w:val="00503E38"/>
    <w:rsid w:val="005040DB"/>
    <w:rsid w:val="0050411E"/>
    <w:rsid w:val="005047A2"/>
    <w:rsid w:val="00505325"/>
    <w:rsid w:val="0050536D"/>
    <w:rsid w:val="005053A2"/>
    <w:rsid w:val="005054B3"/>
    <w:rsid w:val="00505A49"/>
    <w:rsid w:val="00505D19"/>
    <w:rsid w:val="00505E60"/>
    <w:rsid w:val="00505F0E"/>
    <w:rsid w:val="00506119"/>
    <w:rsid w:val="00506210"/>
    <w:rsid w:val="00506490"/>
    <w:rsid w:val="005064B4"/>
    <w:rsid w:val="00506578"/>
    <w:rsid w:val="005066EE"/>
    <w:rsid w:val="005068D4"/>
    <w:rsid w:val="005069A6"/>
    <w:rsid w:val="00506AEA"/>
    <w:rsid w:val="00506FD8"/>
    <w:rsid w:val="005072DF"/>
    <w:rsid w:val="00507455"/>
    <w:rsid w:val="005075BB"/>
    <w:rsid w:val="00507EA8"/>
    <w:rsid w:val="005100F2"/>
    <w:rsid w:val="00510396"/>
    <w:rsid w:val="005103D3"/>
    <w:rsid w:val="00510430"/>
    <w:rsid w:val="0051064B"/>
    <w:rsid w:val="005106E5"/>
    <w:rsid w:val="005106E9"/>
    <w:rsid w:val="0051080A"/>
    <w:rsid w:val="00510B30"/>
    <w:rsid w:val="005111E4"/>
    <w:rsid w:val="005112CD"/>
    <w:rsid w:val="005117B4"/>
    <w:rsid w:val="00511AA6"/>
    <w:rsid w:val="00511AB1"/>
    <w:rsid w:val="00512053"/>
    <w:rsid w:val="005121CC"/>
    <w:rsid w:val="005127D7"/>
    <w:rsid w:val="00512AE3"/>
    <w:rsid w:val="00512DE2"/>
    <w:rsid w:val="00512ED8"/>
    <w:rsid w:val="00512EEC"/>
    <w:rsid w:val="0051312E"/>
    <w:rsid w:val="00513169"/>
    <w:rsid w:val="005131ED"/>
    <w:rsid w:val="005135CC"/>
    <w:rsid w:val="00513B17"/>
    <w:rsid w:val="00513FD4"/>
    <w:rsid w:val="0051401F"/>
    <w:rsid w:val="00514AF4"/>
    <w:rsid w:val="0051524C"/>
    <w:rsid w:val="00515BD7"/>
    <w:rsid w:val="00515DF0"/>
    <w:rsid w:val="00516018"/>
    <w:rsid w:val="005161D9"/>
    <w:rsid w:val="0051639C"/>
    <w:rsid w:val="005168D2"/>
    <w:rsid w:val="00517501"/>
    <w:rsid w:val="005178D1"/>
    <w:rsid w:val="0051799E"/>
    <w:rsid w:val="00517DA7"/>
    <w:rsid w:val="00520185"/>
    <w:rsid w:val="00520380"/>
    <w:rsid w:val="0052073D"/>
    <w:rsid w:val="0052092C"/>
    <w:rsid w:val="005209BA"/>
    <w:rsid w:val="00520B74"/>
    <w:rsid w:val="00520E30"/>
    <w:rsid w:val="005212AC"/>
    <w:rsid w:val="005214A4"/>
    <w:rsid w:val="005216CD"/>
    <w:rsid w:val="00522043"/>
    <w:rsid w:val="005221B3"/>
    <w:rsid w:val="00522310"/>
    <w:rsid w:val="005224FA"/>
    <w:rsid w:val="005227D9"/>
    <w:rsid w:val="00522ADB"/>
    <w:rsid w:val="00523193"/>
    <w:rsid w:val="005237E2"/>
    <w:rsid w:val="005243E9"/>
    <w:rsid w:val="00524B55"/>
    <w:rsid w:val="00524BB6"/>
    <w:rsid w:val="00524D7A"/>
    <w:rsid w:val="005250FF"/>
    <w:rsid w:val="005251B3"/>
    <w:rsid w:val="005252FE"/>
    <w:rsid w:val="005258DA"/>
    <w:rsid w:val="00525C63"/>
    <w:rsid w:val="00526329"/>
    <w:rsid w:val="005263BD"/>
    <w:rsid w:val="0052643E"/>
    <w:rsid w:val="00526CA6"/>
    <w:rsid w:val="00526EDE"/>
    <w:rsid w:val="0052731F"/>
    <w:rsid w:val="005273B0"/>
    <w:rsid w:val="005276E9"/>
    <w:rsid w:val="00527712"/>
    <w:rsid w:val="00527C5D"/>
    <w:rsid w:val="00527EA5"/>
    <w:rsid w:val="00530036"/>
    <w:rsid w:val="005300EC"/>
    <w:rsid w:val="005304C6"/>
    <w:rsid w:val="00530B28"/>
    <w:rsid w:val="00530BEC"/>
    <w:rsid w:val="00531089"/>
    <w:rsid w:val="00531948"/>
    <w:rsid w:val="00531B02"/>
    <w:rsid w:val="00531B3D"/>
    <w:rsid w:val="00531D3B"/>
    <w:rsid w:val="00531FF1"/>
    <w:rsid w:val="005320BC"/>
    <w:rsid w:val="00532235"/>
    <w:rsid w:val="00532356"/>
    <w:rsid w:val="00533001"/>
    <w:rsid w:val="0053359F"/>
    <w:rsid w:val="00533726"/>
    <w:rsid w:val="005338EA"/>
    <w:rsid w:val="0053416E"/>
    <w:rsid w:val="005342A9"/>
    <w:rsid w:val="0053442A"/>
    <w:rsid w:val="00534597"/>
    <w:rsid w:val="00534650"/>
    <w:rsid w:val="00534835"/>
    <w:rsid w:val="005348AF"/>
    <w:rsid w:val="00534B89"/>
    <w:rsid w:val="00534C0E"/>
    <w:rsid w:val="00534D18"/>
    <w:rsid w:val="00534ECA"/>
    <w:rsid w:val="00534F4C"/>
    <w:rsid w:val="005351A9"/>
    <w:rsid w:val="0053536E"/>
    <w:rsid w:val="0053552E"/>
    <w:rsid w:val="00535704"/>
    <w:rsid w:val="0053581E"/>
    <w:rsid w:val="00535887"/>
    <w:rsid w:val="00535B18"/>
    <w:rsid w:val="00535D35"/>
    <w:rsid w:val="0053608D"/>
    <w:rsid w:val="00536DE8"/>
    <w:rsid w:val="005371D5"/>
    <w:rsid w:val="005373B4"/>
    <w:rsid w:val="005373C8"/>
    <w:rsid w:val="00537492"/>
    <w:rsid w:val="005374CC"/>
    <w:rsid w:val="00537721"/>
    <w:rsid w:val="00537F86"/>
    <w:rsid w:val="005405A5"/>
    <w:rsid w:val="005406E6"/>
    <w:rsid w:val="00540C3B"/>
    <w:rsid w:val="0054101B"/>
    <w:rsid w:val="005414C8"/>
    <w:rsid w:val="005415D8"/>
    <w:rsid w:val="00541B94"/>
    <w:rsid w:val="00541DB8"/>
    <w:rsid w:val="005422A2"/>
    <w:rsid w:val="00542627"/>
    <w:rsid w:val="005429B0"/>
    <w:rsid w:val="00542ADC"/>
    <w:rsid w:val="00542B9D"/>
    <w:rsid w:val="00543149"/>
    <w:rsid w:val="00543447"/>
    <w:rsid w:val="00543487"/>
    <w:rsid w:val="00543842"/>
    <w:rsid w:val="00543DC4"/>
    <w:rsid w:val="00543F50"/>
    <w:rsid w:val="005440BF"/>
    <w:rsid w:val="005440D5"/>
    <w:rsid w:val="00544488"/>
    <w:rsid w:val="0054468F"/>
    <w:rsid w:val="005448A9"/>
    <w:rsid w:val="005449A2"/>
    <w:rsid w:val="00544AAB"/>
    <w:rsid w:val="00544B43"/>
    <w:rsid w:val="00544DD4"/>
    <w:rsid w:val="00544E64"/>
    <w:rsid w:val="005452E4"/>
    <w:rsid w:val="0054540F"/>
    <w:rsid w:val="005455A9"/>
    <w:rsid w:val="0054568F"/>
    <w:rsid w:val="005459D4"/>
    <w:rsid w:val="00545AD9"/>
    <w:rsid w:val="00545E4B"/>
    <w:rsid w:val="00545ED2"/>
    <w:rsid w:val="00546070"/>
    <w:rsid w:val="005460B4"/>
    <w:rsid w:val="0054612D"/>
    <w:rsid w:val="005475DF"/>
    <w:rsid w:val="0054764F"/>
    <w:rsid w:val="00547772"/>
    <w:rsid w:val="00547BD0"/>
    <w:rsid w:val="00550131"/>
    <w:rsid w:val="005501D2"/>
    <w:rsid w:val="00550352"/>
    <w:rsid w:val="00550531"/>
    <w:rsid w:val="00550D36"/>
    <w:rsid w:val="00550FA4"/>
    <w:rsid w:val="00551484"/>
    <w:rsid w:val="005519DE"/>
    <w:rsid w:val="00551ACD"/>
    <w:rsid w:val="00551F7A"/>
    <w:rsid w:val="00552442"/>
    <w:rsid w:val="005526CD"/>
    <w:rsid w:val="00552936"/>
    <w:rsid w:val="0055299E"/>
    <w:rsid w:val="00552C86"/>
    <w:rsid w:val="00552CFE"/>
    <w:rsid w:val="00553230"/>
    <w:rsid w:val="005535DD"/>
    <w:rsid w:val="00553ABF"/>
    <w:rsid w:val="00553E17"/>
    <w:rsid w:val="00553EC3"/>
    <w:rsid w:val="00554E9D"/>
    <w:rsid w:val="0055507B"/>
    <w:rsid w:val="00555094"/>
    <w:rsid w:val="005550AF"/>
    <w:rsid w:val="005551AA"/>
    <w:rsid w:val="005551C4"/>
    <w:rsid w:val="00555BDB"/>
    <w:rsid w:val="00555DA0"/>
    <w:rsid w:val="00556080"/>
    <w:rsid w:val="005569A2"/>
    <w:rsid w:val="00556B07"/>
    <w:rsid w:val="00556B22"/>
    <w:rsid w:val="00556DE1"/>
    <w:rsid w:val="00556F6B"/>
    <w:rsid w:val="005572FD"/>
    <w:rsid w:val="005573BF"/>
    <w:rsid w:val="005574CC"/>
    <w:rsid w:val="00557592"/>
    <w:rsid w:val="005575DB"/>
    <w:rsid w:val="00557A1B"/>
    <w:rsid w:val="00557B12"/>
    <w:rsid w:val="0056007E"/>
    <w:rsid w:val="005600B5"/>
    <w:rsid w:val="00560170"/>
    <w:rsid w:val="005601EB"/>
    <w:rsid w:val="005608B1"/>
    <w:rsid w:val="005609EE"/>
    <w:rsid w:val="00560BA1"/>
    <w:rsid w:val="00560BF0"/>
    <w:rsid w:val="00560D54"/>
    <w:rsid w:val="0056128F"/>
    <w:rsid w:val="0056206B"/>
    <w:rsid w:val="0056289B"/>
    <w:rsid w:val="00562A38"/>
    <w:rsid w:val="00562DBB"/>
    <w:rsid w:val="005635EA"/>
    <w:rsid w:val="0056381F"/>
    <w:rsid w:val="005638E7"/>
    <w:rsid w:val="00563B7B"/>
    <w:rsid w:val="00563D02"/>
    <w:rsid w:val="00563E9E"/>
    <w:rsid w:val="00563F2A"/>
    <w:rsid w:val="00564148"/>
    <w:rsid w:val="0056560E"/>
    <w:rsid w:val="00565759"/>
    <w:rsid w:val="00565D17"/>
    <w:rsid w:val="00566276"/>
    <w:rsid w:val="005663B4"/>
    <w:rsid w:val="0056653D"/>
    <w:rsid w:val="00566601"/>
    <w:rsid w:val="00566B2D"/>
    <w:rsid w:val="00566C12"/>
    <w:rsid w:val="0056713A"/>
    <w:rsid w:val="00567206"/>
    <w:rsid w:val="00567401"/>
    <w:rsid w:val="00567555"/>
    <w:rsid w:val="00567616"/>
    <w:rsid w:val="0056776F"/>
    <w:rsid w:val="005678D7"/>
    <w:rsid w:val="00567C9C"/>
    <w:rsid w:val="00570140"/>
    <w:rsid w:val="00570393"/>
    <w:rsid w:val="00570682"/>
    <w:rsid w:val="0057099B"/>
    <w:rsid w:val="00570C75"/>
    <w:rsid w:val="00570E09"/>
    <w:rsid w:val="00570FDC"/>
    <w:rsid w:val="005714C7"/>
    <w:rsid w:val="00571721"/>
    <w:rsid w:val="0057175B"/>
    <w:rsid w:val="00571828"/>
    <w:rsid w:val="00571ACF"/>
    <w:rsid w:val="00571B71"/>
    <w:rsid w:val="00571D04"/>
    <w:rsid w:val="00572072"/>
    <w:rsid w:val="00572306"/>
    <w:rsid w:val="00572672"/>
    <w:rsid w:val="005728AE"/>
    <w:rsid w:val="00572902"/>
    <w:rsid w:val="0057299F"/>
    <w:rsid w:val="00572E4F"/>
    <w:rsid w:val="005731A3"/>
    <w:rsid w:val="00573256"/>
    <w:rsid w:val="0057338C"/>
    <w:rsid w:val="00573529"/>
    <w:rsid w:val="00573997"/>
    <w:rsid w:val="00573A91"/>
    <w:rsid w:val="00573EC0"/>
    <w:rsid w:val="005740BA"/>
    <w:rsid w:val="005742A1"/>
    <w:rsid w:val="00574620"/>
    <w:rsid w:val="00574AC6"/>
    <w:rsid w:val="00574ADD"/>
    <w:rsid w:val="00574BFF"/>
    <w:rsid w:val="00574C48"/>
    <w:rsid w:val="00574F8A"/>
    <w:rsid w:val="00575254"/>
    <w:rsid w:val="0057536C"/>
    <w:rsid w:val="00575AE9"/>
    <w:rsid w:val="00575D9F"/>
    <w:rsid w:val="00576032"/>
    <w:rsid w:val="00576200"/>
    <w:rsid w:val="0057629E"/>
    <w:rsid w:val="0057645A"/>
    <w:rsid w:val="005765A4"/>
    <w:rsid w:val="0057666F"/>
    <w:rsid w:val="00576A41"/>
    <w:rsid w:val="00576A4B"/>
    <w:rsid w:val="00576C32"/>
    <w:rsid w:val="005779A2"/>
    <w:rsid w:val="00577D51"/>
    <w:rsid w:val="00577FCE"/>
    <w:rsid w:val="005803BC"/>
    <w:rsid w:val="0058050A"/>
    <w:rsid w:val="00580BD6"/>
    <w:rsid w:val="00580BEB"/>
    <w:rsid w:val="00580CF3"/>
    <w:rsid w:val="005811DC"/>
    <w:rsid w:val="005814C3"/>
    <w:rsid w:val="00581998"/>
    <w:rsid w:val="005819DC"/>
    <w:rsid w:val="00581F3A"/>
    <w:rsid w:val="00582089"/>
    <w:rsid w:val="0058223B"/>
    <w:rsid w:val="005827EE"/>
    <w:rsid w:val="005829C5"/>
    <w:rsid w:val="00582C60"/>
    <w:rsid w:val="00582F26"/>
    <w:rsid w:val="0058304A"/>
    <w:rsid w:val="00583F41"/>
    <w:rsid w:val="00584166"/>
    <w:rsid w:val="005841A5"/>
    <w:rsid w:val="00584988"/>
    <w:rsid w:val="00584A9D"/>
    <w:rsid w:val="005852E3"/>
    <w:rsid w:val="0058531C"/>
    <w:rsid w:val="00585590"/>
    <w:rsid w:val="0058562A"/>
    <w:rsid w:val="00585A66"/>
    <w:rsid w:val="00585ADD"/>
    <w:rsid w:val="00585BD0"/>
    <w:rsid w:val="00585BF9"/>
    <w:rsid w:val="00585CFC"/>
    <w:rsid w:val="00585E5E"/>
    <w:rsid w:val="0058619F"/>
    <w:rsid w:val="0058626B"/>
    <w:rsid w:val="00586346"/>
    <w:rsid w:val="00586517"/>
    <w:rsid w:val="005866E9"/>
    <w:rsid w:val="00586B82"/>
    <w:rsid w:val="00586CFC"/>
    <w:rsid w:val="00586D66"/>
    <w:rsid w:val="00586D77"/>
    <w:rsid w:val="0058703A"/>
    <w:rsid w:val="0058704A"/>
    <w:rsid w:val="0058753D"/>
    <w:rsid w:val="00587734"/>
    <w:rsid w:val="00587843"/>
    <w:rsid w:val="00587DA0"/>
    <w:rsid w:val="005904AD"/>
    <w:rsid w:val="0059090A"/>
    <w:rsid w:val="00590C1C"/>
    <w:rsid w:val="00591036"/>
    <w:rsid w:val="0059104B"/>
    <w:rsid w:val="00591094"/>
    <w:rsid w:val="00591259"/>
    <w:rsid w:val="00591360"/>
    <w:rsid w:val="005914F6"/>
    <w:rsid w:val="005916DC"/>
    <w:rsid w:val="00591887"/>
    <w:rsid w:val="00591984"/>
    <w:rsid w:val="00592054"/>
    <w:rsid w:val="0059239D"/>
    <w:rsid w:val="00592669"/>
    <w:rsid w:val="00592817"/>
    <w:rsid w:val="00592863"/>
    <w:rsid w:val="005929D2"/>
    <w:rsid w:val="00592A19"/>
    <w:rsid w:val="00592BFD"/>
    <w:rsid w:val="00592D4A"/>
    <w:rsid w:val="005932FD"/>
    <w:rsid w:val="0059372A"/>
    <w:rsid w:val="00593DD6"/>
    <w:rsid w:val="0059425B"/>
    <w:rsid w:val="0059427E"/>
    <w:rsid w:val="005945D1"/>
    <w:rsid w:val="00594B48"/>
    <w:rsid w:val="00594B4E"/>
    <w:rsid w:val="00595137"/>
    <w:rsid w:val="00595663"/>
    <w:rsid w:val="005957C3"/>
    <w:rsid w:val="005959F3"/>
    <w:rsid w:val="00595A89"/>
    <w:rsid w:val="00595B54"/>
    <w:rsid w:val="00595E26"/>
    <w:rsid w:val="00596038"/>
    <w:rsid w:val="0059605E"/>
    <w:rsid w:val="00596101"/>
    <w:rsid w:val="005961E4"/>
    <w:rsid w:val="0059648A"/>
    <w:rsid w:val="0059662A"/>
    <w:rsid w:val="00596855"/>
    <w:rsid w:val="00596A56"/>
    <w:rsid w:val="00597123"/>
    <w:rsid w:val="0059719B"/>
    <w:rsid w:val="0059722D"/>
    <w:rsid w:val="00597402"/>
    <w:rsid w:val="0059767D"/>
    <w:rsid w:val="00597E16"/>
    <w:rsid w:val="00597F77"/>
    <w:rsid w:val="005A0013"/>
    <w:rsid w:val="005A00F8"/>
    <w:rsid w:val="005A02D5"/>
    <w:rsid w:val="005A02E5"/>
    <w:rsid w:val="005A07D0"/>
    <w:rsid w:val="005A0978"/>
    <w:rsid w:val="005A09A1"/>
    <w:rsid w:val="005A0A76"/>
    <w:rsid w:val="005A0D61"/>
    <w:rsid w:val="005A1971"/>
    <w:rsid w:val="005A1AEC"/>
    <w:rsid w:val="005A2117"/>
    <w:rsid w:val="005A2460"/>
    <w:rsid w:val="005A25BB"/>
    <w:rsid w:val="005A2683"/>
    <w:rsid w:val="005A2739"/>
    <w:rsid w:val="005A27C3"/>
    <w:rsid w:val="005A294F"/>
    <w:rsid w:val="005A3040"/>
    <w:rsid w:val="005A364C"/>
    <w:rsid w:val="005A36D5"/>
    <w:rsid w:val="005A3D65"/>
    <w:rsid w:val="005A3E25"/>
    <w:rsid w:val="005A3FC5"/>
    <w:rsid w:val="005A4190"/>
    <w:rsid w:val="005A4607"/>
    <w:rsid w:val="005A48DA"/>
    <w:rsid w:val="005A4964"/>
    <w:rsid w:val="005A4ADE"/>
    <w:rsid w:val="005A4AEB"/>
    <w:rsid w:val="005A5047"/>
    <w:rsid w:val="005A517F"/>
    <w:rsid w:val="005A5696"/>
    <w:rsid w:val="005A5B2E"/>
    <w:rsid w:val="005A5BA1"/>
    <w:rsid w:val="005A5E84"/>
    <w:rsid w:val="005A64E6"/>
    <w:rsid w:val="005A6FE0"/>
    <w:rsid w:val="005A6FE1"/>
    <w:rsid w:val="005A7238"/>
    <w:rsid w:val="005A7456"/>
    <w:rsid w:val="005A75EC"/>
    <w:rsid w:val="005A76AB"/>
    <w:rsid w:val="005A77A8"/>
    <w:rsid w:val="005A78EA"/>
    <w:rsid w:val="005A793D"/>
    <w:rsid w:val="005A7B21"/>
    <w:rsid w:val="005A7B7F"/>
    <w:rsid w:val="005A7F1A"/>
    <w:rsid w:val="005B0260"/>
    <w:rsid w:val="005B06EE"/>
    <w:rsid w:val="005B14F8"/>
    <w:rsid w:val="005B190B"/>
    <w:rsid w:val="005B19E8"/>
    <w:rsid w:val="005B2112"/>
    <w:rsid w:val="005B242F"/>
    <w:rsid w:val="005B2A61"/>
    <w:rsid w:val="005B2A72"/>
    <w:rsid w:val="005B2D0D"/>
    <w:rsid w:val="005B2D89"/>
    <w:rsid w:val="005B2EDE"/>
    <w:rsid w:val="005B3069"/>
    <w:rsid w:val="005B32C6"/>
    <w:rsid w:val="005B34F6"/>
    <w:rsid w:val="005B3DFB"/>
    <w:rsid w:val="005B4611"/>
    <w:rsid w:val="005B468F"/>
    <w:rsid w:val="005B46A0"/>
    <w:rsid w:val="005B46EF"/>
    <w:rsid w:val="005B4FD2"/>
    <w:rsid w:val="005B5211"/>
    <w:rsid w:val="005B5350"/>
    <w:rsid w:val="005B5388"/>
    <w:rsid w:val="005B54DA"/>
    <w:rsid w:val="005B57AA"/>
    <w:rsid w:val="005B5880"/>
    <w:rsid w:val="005B5F4D"/>
    <w:rsid w:val="005B6008"/>
    <w:rsid w:val="005B6431"/>
    <w:rsid w:val="005B6670"/>
    <w:rsid w:val="005B7136"/>
    <w:rsid w:val="005B7347"/>
    <w:rsid w:val="005B7398"/>
    <w:rsid w:val="005B74EA"/>
    <w:rsid w:val="005B758C"/>
    <w:rsid w:val="005B7590"/>
    <w:rsid w:val="005B77F5"/>
    <w:rsid w:val="005B7AC6"/>
    <w:rsid w:val="005B7C05"/>
    <w:rsid w:val="005B7DF7"/>
    <w:rsid w:val="005C0073"/>
    <w:rsid w:val="005C037F"/>
    <w:rsid w:val="005C04D2"/>
    <w:rsid w:val="005C0BDE"/>
    <w:rsid w:val="005C0E24"/>
    <w:rsid w:val="005C1BC2"/>
    <w:rsid w:val="005C2252"/>
    <w:rsid w:val="005C25D2"/>
    <w:rsid w:val="005C28A1"/>
    <w:rsid w:val="005C28E1"/>
    <w:rsid w:val="005C354A"/>
    <w:rsid w:val="005C3574"/>
    <w:rsid w:val="005C3744"/>
    <w:rsid w:val="005C3F32"/>
    <w:rsid w:val="005C3F46"/>
    <w:rsid w:val="005C40D3"/>
    <w:rsid w:val="005C4247"/>
    <w:rsid w:val="005C43F9"/>
    <w:rsid w:val="005C4914"/>
    <w:rsid w:val="005C4BB6"/>
    <w:rsid w:val="005C4E24"/>
    <w:rsid w:val="005C4F22"/>
    <w:rsid w:val="005C4F61"/>
    <w:rsid w:val="005C55CF"/>
    <w:rsid w:val="005C62E6"/>
    <w:rsid w:val="005C6A74"/>
    <w:rsid w:val="005C6AE4"/>
    <w:rsid w:val="005C6B10"/>
    <w:rsid w:val="005C7124"/>
    <w:rsid w:val="005C7235"/>
    <w:rsid w:val="005C72F9"/>
    <w:rsid w:val="005C7E46"/>
    <w:rsid w:val="005C7FBB"/>
    <w:rsid w:val="005C7FF4"/>
    <w:rsid w:val="005D00F9"/>
    <w:rsid w:val="005D0188"/>
    <w:rsid w:val="005D02BC"/>
    <w:rsid w:val="005D0584"/>
    <w:rsid w:val="005D0633"/>
    <w:rsid w:val="005D097D"/>
    <w:rsid w:val="005D1642"/>
    <w:rsid w:val="005D1A99"/>
    <w:rsid w:val="005D1C84"/>
    <w:rsid w:val="005D2A9E"/>
    <w:rsid w:val="005D2AD1"/>
    <w:rsid w:val="005D2B83"/>
    <w:rsid w:val="005D2BA1"/>
    <w:rsid w:val="005D30E1"/>
    <w:rsid w:val="005D314B"/>
    <w:rsid w:val="005D3299"/>
    <w:rsid w:val="005D35ED"/>
    <w:rsid w:val="005D381A"/>
    <w:rsid w:val="005D3836"/>
    <w:rsid w:val="005D4006"/>
    <w:rsid w:val="005D4291"/>
    <w:rsid w:val="005D42AA"/>
    <w:rsid w:val="005D43AC"/>
    <w:rsid w:val="005D4698"/>
    <w:rsid w:val="005D472F"/>
    <w:rsid w:val="005D48A1"/>
    <w:rsid w:val="005D4DF5"/>
    <w:rsid w:val="005D52D6"/>
    <w:rsid w:val="005D53CE"/>
    <w:rsid w:val="005D5C1E"/>
    <w:rsid w:val="005D5E22"/>
    <w:rsid w:val="005D6075"/>
    <w:rsid w:val="005D60F7"/>
    <w:rsid w:val="005D6557"/>
    <w:rsid w:val="005D6DFE"/>
    <w:rsid w:val="005D6EC9"/>
    <w:rsid w:val="005D6EF9"/>
    <w:rsid w:val="005D71B8"/>
    <w:rsid w:val="005D74CE"/>
    <w:rsid w:val="005D77A4"/>
    <w:rsid w:val="005D7E57"/>
    <w:rsid w:val="005E0115"/>
    <w:rsid w:val="005E0E36"/>
    <w:rsid w:val="005E17A1"/>
    <w:rsid w:val="005E1847"/>
    <w:rsid w:val="005E19C8"/>
    <w:rsid w:val="005E2700"/>
    <w:rsid w:val="005E2701"/>
    <w:rsid w:val="005E2870"/>
    <w:rsid w:val="005E2CE7"/>
    <w:rsid w:val="005E3139"/>
    <w:rsid w:val="005E3698"/>
    <w:rsid w:val="005E3724"/>
    <w:rsid w:val="005E38D4"/>
    <w:rsid w:val="005E3957"/>
    <w:rsid w:val="005E40FC"/>
    <w:rsid w:val="005E4300"/>
    <w:rsid w:val="005E4464"/>
    <w:rsid w:val="005E44AA"/>
    <w:rsid w:val="005E44E0"/>
    <w:rsid w:val="005E46FD"/>
    <w:rsid w:val="005E4AA8"/>
    <w:rsid w:val="005E4F8D"/>
    <w:rsid w:val="005E4FB6"/>
    <w:rsid w:val="005E4FF0"/>
    <w:rsid w:val="005E5295"/>
    <w:rsid w:val="005E54D5"/>
    <w:rsid w:val="005E5525"/>
    <w:rsid w:val="005E5739"/>
    <w:rsid w:val="005E5741"/>
    <w:rsid w:val="005E58CA"/>
    <w:rsid w:val="005E5B81"/>
    <w:rsid w:val="005E5DD3"/>
    <w:rsid w:val="005E603E"/>
    <w:rsid w:val="005E6098"/>
    <w:rsid w:val="005E634E"/>
    <w:rsid w:val="005E677D"/>
    <w:rsid w:val="005E6799"/>
    <w:rsid w:val="005E6884"/>
    <w:rsid w:val="005E6A30"/>
    <w:rsid w:val="005E6D6A"/>
    <w:rsid w:val="005E700C"/>
    <w:rsid w:val="005E73B1"/>
    <w:rsid w:val="005E7487"/>
    <w:rsid w:val="005E78DD"/>
    <w:rsid w:val="005E7F2F"/>
    <w:rsid w:val="005F05CB"/>
    <w:rsid w:val="005F06E4"/>
    <w:rsid w:val="005F08AA"/>
    <w:rsid w:val="005F0A10"/>
    <w:rsid w:val="005F0B7B"/>
    <w:rsid w:val="005F0BE9"/>
    <w:rsid w:val="005F0CEB"/>
    <w:rsid w:val="005F0EEC"/>
    <w:rsid w:val="005F11C6"/>
    <w:rsid w:val="005F126B"/>
    <w:rsid w:val="005F13EA"/>
    <w:rsid w:val="005F140A"/>
    <w:rsid w:val="005F17A3"/>
    <w:rsid w:val="005F19D0"/>
    <w:rsid w:val="005F1B77"/>
    <w:rsid w:val="005F2471"/>
    <w:rsid w:val="005F2743"/>
    <w:rsid w:val="005F296D"/>
    <w:rsid w:val="005F2BE2"/>
    <w:rsid w:val="005F3038"/>
    <w:rsid w:val="005F317D"/>
    <w:rsid w:val="005F35C5"/>
    <w:rsid w:val="005F3B95"/>
    <w:rsid w:val="005F3BFB"/>
    <w:rsid w:val="005F3D56"/>
    <w:rsid w:val="005F494C"/>
    <w:rsid w:val="005F4D6F"/>
    <w:rsid w:val="005F5BDB"/>
    <w:rsid w:val="005F5BFA"/>
    <w:rsid w:val="005F5C8D"/>
    <w:rsid w:val="005F5D25"/>
    <w:rsid w:val="005F5FB8"/>
    <w:rsid w:val="005F63D9"/>
    <w:rsid w:val="005F653E"/>
    <w:rsid w:val="005F6653"/>
    <w:rsid w:val="005F6817"/>
    <w:rsid w:val="005F699E"/>
    <w:rsid w:val="005F69AE"/>
    <w:rsid w:val="005F6ABD"/>
    <w:rsid w:val="005F6C48"/>
    <w:rsid w:val="005F71DD"/>
    <w:rsid w:val="005F7261"/>
    <w:rsid w:val="005F750D"/>
    <w:rsid w:val="005F7E8F"/>
    <w:rsid w:val="005F7F96"/>
    <w:rsid w:val="0060004A"/>
    <w:rsid w:val="00600078"/>
    <w:rsid w:val="006003A3"/>
    <w:rsid w:val="006009C4"/>
    <w:rsid w:val="00600D9F"/>
    <w:rsid w:val="006018BF"/>
    <w:rsid w:val="00601CBA"/>
    <w:rsid w:val="00601F1F"/>
    <w:rsid w:val="00602449"/>
    <w:rsid w:val="0060289B"/>
    <w:rsid w:val="00602A19"/>
    <w:rsid w:val="00602B1C"/>
    <w:rsid w:val="00602B38"/>
    <w:rsid w:val="00602F74"/>
    <w:rsid w:val="00602F9A"/>
    <w:rsid w:val="0060312C"/>
    <w:rsid w:val="00603711"/>
    <w:rsid w:val="006037F7"/>
    <w:rsid w:val="006038BE"/>
    <w:rsid w:val="00603E3D"/>
    <w:rsid w:val="00603EC4"/>
    <w:rsid w:val="00603FED"/>
    <w:rsid w:val="006040EF"/>
    <w:rsid w:val="00604D2E"/>
    <w:rsid w:val="00604F08"/>
    <w:rsid w:val="006057B4"/>
    <w:rsid w:val="00606125"/>
    <w:rsid w:val="00606379"/>
    <w:rsid w:val="0060688F"/>
    <w:rsid w:val="00606C07"/>
    <w:rsid w:val="00606C3A"/>
    <w:rsid w:val="00606E55"/>
    <w:rsid w:val="00606FBA"/>
    <w:rsid w:val="00607091"/>
    <w:rsid w:val="00607C9B"/>
    <w:rsid w:val="00610024"/>
    <w:rsid w:val="00610348"/>
    <w:rsid w:val="0061044B"/>
    <w:rsid w:val="00610552"/>
    <w:rsid w:val="0061062E"/>
    <w:rsid w:val="00610835"/>
    <w:rsid w:val="006109BE"/>
    <w:rsid w:val="00610B36"/>
    <w:rsid w:val="00610D84"/>
    <w:rsid w:val="006111F6"/>
    <w:rsid w:val="00611772"/>
    <w:rsid w:val="00611779"/>
    <w:rsid w:val="00612120"/>
    <w:rsid w:val="00612500"/>
    <w:rsid w:val="00612AC4"/>
    <w:rsid w:val="00612C15"/>
    <w:rsid w:val="00612DF5"/>
    <w:rsid w:val="0061394E"/>
    <w:rsid w:val="00613AE8"/>
    <w:rsid w:val="00613E8F"/>
    <w:rsid w:val="00614A08"/>
    <w:rsid w:val="00614B13"/>
    <w:rsid w:val="00614E5C"/>
    <w:rsid w:val="0061514F"/>
    <w:rsid w:val="00615352"/>
    <w:rsid w:val="0061548F"/>
    <w:rsid w:val="006154A3"/>
    <w:rsid w:val="0061555E"/>
    <w:rsid w:val="006156BC"/>
    <w:rsid w:val="006159BF"/>
    <w:rsid w:val="00615FDB"/>
    <w:rsid w:val="0061622E"/>
    <w:rsid w:val="0061669B"/>
    <w:rsid w:val="006167E6"/>
    <w:rsid w:val="00616890"/>
    <w:rsid w:val="00616A8A"/>
    <w:rsid w:val="00616AB3"/>
    <w:rsid w:val="00616DBF"/>
    <w:rsid w:val="00617004"/>
    <w:rsid w:val="00617120"/>
    <w:rsid w:val="0061714F"/>
    <w:rsid w:val="006171C4"/>
    <w:rsid w:val="0061726D"/>
    <w:rsid w:val="0061761C"/>
    <w:rsid w:val="006176ED"/>
    <w:rsid w:val="00617BE9"/>
    <w:rsid w:val="00617F8D"/>
    <w:rsid w:val="006201D2"/>
    <w:rsid w:val="00620210"/>
    <w:rsid w:val="0062034F"/>
    <w:rsid w:val="00620530"/>
    <w:rsid w:val="00620540"/>
    <w:rsid w:val="00620EC0"/>
    <w:rsid w:val="0062129C"/>
    <w:rsid w:val="006212E9"/>
    <w:rsid w:val="0062161C"/>
    <w:rsid w:val="006217EF"/>
    <w:rsid w:val="00621996"/>
    <w:rsid w:val="00621DBA"/>
    <w:rsid w:val="0062208B"/>
    <w:rsid w:val="006221EF"/>
    <w:rsid w:val="006225D0"/>
    <w:rsid w:val="00622855"/>
    <w:rsid w:val="00622A52"/>
    <w:rsid w:val="00622C47"/>
    <w:rsid w:val="00622FD7"/>
    <w:rsid w:val="00622FF6"/>
    <w:rsid w:val="006237B9"/>
    <w:rsid w:val="00623AD3"/>
    <w:rsid w:val="00623C21"/>
    <w:rsid w:val="00623CA8"/>
    <w:rsid w:val="00623EDF"/>
    <w:rsid w:val="00623EFF"/>
    <w:rsid w:val="00624112"/>
    <w:rsid w:val="00624135"/>
    <w:rsid w:val="00624272"/>
    <w:rsid w:val="00624580"/>
    <w:rsid w:val="006246A4"/>
    <w:rsid w:val="00625115"/>
    <w:rsid w:val="0062548A"/>
    <w:rsid w:val="006257ED"/>
    <w:rsid w:val="00625B56"/>
    <w:rsid w:val="00625C43"/>
    <w:rsid w:val="00625D2E"/>
    <w:rsid w:val="00625E88"/>
    <w:rsid w:val="00625F63"/>
    <w:rsid w:val="0062608A"/>
    <w:rsid w:val="0062645A"/>
    <w:rsid w:val="006266A8"/>
    <w:rsid w:val="006266BD"/>
    <w:rsid w:val="006269EF"/>
    <w:rsid w:val="00626A93"/>
    <w:rsid w:val="00626F46"/>
    <w:rsid w:val="0062713D"/>
    <w:rsid w:val="00627415"/>
    <w:rsid w:val="00627996"/>
    <w:rsid w:val="00627CF1"/>
    <w:rsid w:val="00627ED0"/>
    <w:rsid w:val="00630276"/>
    <w:rsid w:val="006305FF"/>
    <w:rsid w:val="00630783"/>
    <w:rsid w:val="00630A34"/>
    <w:rsid w:val="00630C14"/>
    <w:rsid w:val="00630E23"/>
    <w:rsid w:val="006310EB"/>
    <w:rsid w:val="006315CD"/>
    <w:rsid w:val="0063199A"/>
    <w:rsid w:val="00631A2F"/>
    <w:rsid w:val="00631A70"/>
    <w:rsid w:val="00631AD9"/>
    <w:rsid w:val="00631DA3"/>
    <w:rsid w:val="00631E7B"/>
    <w:rsid w:val="006321E6"/>
    <w:rsid w:val="00632309"/>
    <w:rsid w:val="0063231D"/>
    <w:rsid w:val="0063235C"/>
    <w:rsid w:val="00632C1B"/>
    <w:rsid w:val="00632C4D"/>
    <w:rsid w:val="006330D6"/>
    <w:rsid w:val="00633164"/>
    <w:rsid w:val="0063358F"/>
    <w:rsid w:val="00633AA4"/>
    <w:rsid w:val="00633C3F"/>
    <w:rsid w:val="006341CF"/>
    <w:rsid w:val="00634260"/>
    <w:rsid w:val="0063429E"/>
    <w:rsid w:val="006343A4"/>
    <w:rsid w:val="0063444C"/>
    <w:rsid w:val="00634560"/>
    <w:rsid w:val="006348EE"/>
    <w:rsid w:val="00634B04"/>
    <w:rsid w:val="00634B6A"/>
    <w:rsid w:val="00634D05"/>
    <w:rsid w:val="00634F69"/>
    <w:rsid w:val="00635005"/>
    <w:rsid w:val="0063528B"/>
    <w:rsid w:val="0063563E"/>
    <w:rsid w:val="00635648"/>
    <w:rsid w:val="006357F7"/>
    <w:rsid w:val="00635D3D"/>
    <w:rsid w:val="00635D4B"/>
    <w:rsid w:val="00636283"/>
    <w:rsid w:val="0063632A"/>
    <w:rsid w:val="00636450"/>
    <w:rsid w:val="0063693C"/>
    <w:rsid w:val="006369C4"/>
    <w:rsid w:val="00636C3E"/>
    <w:rsid w:val="00636CAD"/>
    <w:rsid w:val="00636F8D"/>
    <w:rsid w:val="00636FAA"/>
    <w:rsid w:val="006370A9"/>
    <w:rsid w:val="006372F8"/>
    <w:rsid w:val="00637B69"/>
    <w:rsid w:val="00637DF0"/>
    <w:rsid w:val="006404F4"/>
    <w:rsid w:val="00640607"/>
    <w:rsid w:val="006409BA"/>
    <w:rsid w:val="00640C92"/>
    <w:rsid w:val="00640D92"/>
    <w:rsid w:val="00640E6C"/>
    <w:rsid w:val="00640EA5"/>
    <w:rsid w:val="00640F70"/>
    <w:rsid w:val="006411A3"/>
    <w:rsid w:val="00641606"/>
    <w:rsid w:val="00641B6B"/>
    <w:rsid w:val="00641BD7"/>
    <w:rsid w:val="00641D5B"/>
    <w:rsid w:val="0064229E"/>
    <w:rsid w:val="00642416"/>
    <w:rsid w:val="006426DF"/>
    <w:rsid w:val="00642D69"/>
    <w:rsid w:val="00642E48"/>
    <w:rsid w:val="00642ECE"/>
    <w:rsid w:val="00642F33"/>
    <w:rsid w:val="00643009"/>
    <w:rsid w:val="006431F1"/>
    <w:rsid w:val="006433FC"/>
    <w:rsid w:val="00643477"/>
    <w:rsid w:val="00643DF7"/>
    <w:rsid w:val="00643E78"/>
    <w:rsid w:val="00644A56"/>
    <w:rsid w:val="00644B7F"/>
    <w:rsid w:val="006452B2"/>
    <w:rsid w:val="00645665"/>
    <w:rsid w:val="006456CA"/>
    <w:rsid w:val="006458FB"/>
    <w:rsid w:val="00645A49"/>
    <w:rsid w:val="00645CE6"/>
    <w:rsid w:val="00645E1F"/>
    <w:rsid w:val="0064609C"/>
    <w:rsid w:val="006460BA"/>
    <w:rsid w:val="006463DE"/>
    <w:rsid w:val="006467FB"/>
    <w:rsid w:val="00646AD7"/>
    <w:rsid w:val="00646CA8"/>
    <w:rsid w:val="006473B9"/>
    <w:rsid w:val="006476DB"/>
    <w:rsid w:val="00647740"/>
    <w:rsid w:val="00647B02"/>
    <w:rsid w:val="00647EC1"/>
    <w:rsid w:val="0065068F"/>
    <w:rsid w:val="006507DB"/>
    <w:rsid w:val="00650A2F"/>
    <w:rsid w:val="00650CA6"/>
    <w:rsid w:val="00650E69"/>
    <w:rsid w:val="00650F2B"/>
    <w:rsid w:val="006510E3"/>
    <w:rsid w:val="0065122D"/>
    <w:rsid w:val="0065181B"/>
    <w:rsid w:val="00651857"/>
    <w:rsid w:val="00651E0E"/>
    <w:rsid w:val="00652748"/>
    <w:rsid w:val="0065293E"/>
    <w:rsid w:val="006529F5"/>
    <w:rsid w:val="00652A0D"/>
    <w:rsid w:val="00652BFF"/>
    <w:rsid w:val="0065374D"/>
    <w:rsid w:val="006537C3"/>
    <w:rsid w:val="006537E0"/>
    <w:rsid w:val="00653B78"/>
    <w:rsid w:val="00653FA8"/>
    <w:rsid w:val="00654103"/>
    <w:rsid w:val="00654385"/>
    <w:rsid w:val="006546F2"/>
    <w:rsid w:val="00654C3F"/>
    <w:rsid w:val="006552C4"/>
    <w:rsid w:val="00655B05"/>
    <w:rsid w:val="00655D48"/>
    <w:rsid w:val="00656209"/>
    <w:rsid w:val="006563AA"/>
    <w:rsid w:val="006564CE"/>
    <w:rsid w:val="006565B6"/>
    <w:rsid w:val="006566EB"/>
    <w:rsid w:val="00656878"/>
    <w:rsid w:val="00656A2C"/>
    <w:rsid w:val="00656B96"/>
    <w:rsid w:val="00656BEA"/>
    <w:rsid w:val="00656DB1"/>
    <w:rsid w:val="006574C7"/>
    <w:rsid w:val="00657961"/>
    <w:rsid w:val="00657BD0"/>
    <w:rsid w:val="00657D6E"/>
    <w:rsid w:val="0066087F"/>
    <w:rsid w:val="006608F7"/>
    <w:rsid w:val="00660A0B"/>
    <w:rsid w:val="00660C1F"/>
    <w:rsid w:val="00660D25"/>
    <w:rsid w:val="00660D6C"/>
    <w:rsid w:val="00660D93"/>
    <w:rsid w:val="00660DAA"/>
    <w:rsid w:val="006610A0"/>
    <w:rsid w:val="006612DF"/>
    <w:rsid w:val="00661455"/>
    <w:rsid w:val="00661657"/>
    <w:rsid w:val="006616F3"/>
    <w:rsid w:val="00661820"/>
    <w:rsid w:val="00661986"/>
    <w:rsid w:val="00661C9B"/>
    <w:rsid w:val="00661CDC"/>
    <w:rsid w:val="006620C6"/>
    <w:rsid w:val="00662424"/>
    <w:rsid w:val="006625B3"/>
    <w:rsid w:val="00662609"/>
    <w:rsid w:val="00662C17"/>
    <w:rsid w:val="00662CF9"/>
    <w:rsid w:val="00662D3D"/>
    <w:rsid w:val="00662EB9"/>
    <w:rsid w:val="00662F7E"/>
    <w:rsid w:val="006630B1"/>
    <w:rsid w:val="006633F7"/>
    <w:rsid w:val="006634CC"/>
    <w:rsid w:val="006634EF"/>
    <w:rsid w:val="00664484"/>
    <w:rsid w:val="00664846"/>
    <w:rsid w:val="00664895"/>
    <w:rsid w:val="0066491C"/>
    <w:rsid w:val="006649BF"/>
    <w:rsid w:val="00664D42"/>
    <w:rsid w:val="00664FF6"/>
    <w:rsid w:val="00665082"/>
    <w:rsid w:val="00665419"/>
    <w:rsid w:val="006654B4"/>
    <w:rsid w:val="0066576F"/>
    <w:rsid w:val="00665D46"/>
    <w:rsid w:val="00665E2C"/>
    <w:rsid w:val="00665EB2"/>
    <w:rsid w:val="00666464"/>
    <w:rsid w:val="00666648"/>
    <w:rsid w:val="006669F5"/>
    <w:rsid w:val="00666BBA"/>
    <w:rsid w:val="00666D1E"/>
    <w:rsid w:val="00666F0C"/>
    <w:rsid w:val="00666F87"/>
    <w:rsid w:val="0066723D"/>
    <w:rsid w:val="00667447"/>
    <w:rsid w:val="00667531"/>
    <w:rsid w:val="0066781D"/>
    <w:rsid w:val="00667945"/>
    <w:rsid w:val="00667D43"/>
    <w:rsid w:val="006701AC"/>
    <w:rsid w:val="006702ED"/>
    <w:rsid w:val="006703BC"/>
    <w:rsid w:val="0067044F"/>
    <w:rsid w:val="00670A67"/>
    <w:rsid w:val="00670A7F"/>
    <w:rsid w:val="00670A9B"/>
    <w:rsid w:val="00671174"/>
    <w:rsid w:val="00671239"/>
    <w:rsid w:val="0067127B"/>
    <w:rsid w:val="006713A7"/>
    <w:rsid w:val="00671688"/>
    <w:rsid w:val="00671694"/>
    <w:rsid w:val="006718EA"/>
    <w:rsid w:val="0067196A"/>
    <w:rsid w:val="00671A3B"/>
    <w:rsid w:val="00671BBC"/>
    <w:rsid w:val="00671DA8"/>
    <w:rsid w:val="00671F3A"/>
    <w:rsid w:val="0067250A"/>
    <w:rsid w:val="006726BF"/>
    <w:rsid w:val="00672ACA"/>
    <w:rsid w:val="00672FC2"/>
    <w:rsid w:val="00673055"/>
    <w:rsid w:val="006732F4"/>
    <w:rsid w:val="0067350E"/>
    <w:rsid w:val="00673604"/>
    <w:rsid w:val="006736AA"/>
    <w:rsid w:val="00673AFF"/>
    <w:rsid w:val="00673E35"/>
    <w:rsid w:val="00673E9F"/>
    <w:rsid w:val="00673F44"/>
    <w:rsid w:val="00674323"/>
    <w:rsid w:val="006743F7"/>
    <w:rsid w:val="006744BB"/>
    <w:rsid w:val="00674877"/>
    <w:rsid w:val="006748BE"/>
    <w:rsid w:val="006753C4"/>
    <w:rsid w:val="006757A7"/>
    <w:rsid w:val="00675A80"/>
    <w:rsid w:val="00675CCB"/>
    <w:rsid w:val="006761B7"/>
    <w:rsid w:val="006764B1"/>
    <w:rsid w:val="006767D3"/>
    <w:rsid w:val="006778EC"/>
    <w:rsid w:val="00677B19"/>
    <w:rsid w:val="00677BEC"/>
    <w:rsid w:val="006802CA"/>
    <w:rsid w:val="00680384"/>
    <w:rsid w:val="0068070D"/>
    <w:rsid w:val="0068073E"/>
    <w:rsid w:val="00680849"/>
    <w:rsid w:val="006808DC"/>
    <w:rsid w:val="00680C90"/>
    <w:rsid w:val="00680E5A"/>
    <w:rsid w:val="006810A8"/>
    <w:rsid w:val="00681173"/>
    <w:rsid w:val="006811AE"/>
    <w:rsid w:val="0068125F"/>
    <w:rsid w:val="00681B3A"/>
    <w:rsid w:val="00681C76"/>
    <w:rsid w:val="00681E00"/>
    <w:rsid w:val="00682308"/>
    <w:rsid w:val="0068288A"/>
    <w:rsid w:val="0068288B"/>
    <w:rsid w:val="00682A73"/>
    <w:rsid w:val="00682AA2"/>
    <w:rsid w:val="00682B40"/>
    <w:rsid w:val="00682DD5"/>
    <w:rsid w:val="00682FEC"/>
    <w:rsid w:val="006836DD"/>
    <w:rsid w:val="00683761"/>
    <w:rsid w:val="0068400C"/>
    <w:rsid w:val="006840F3"/>
    <w:rsid w:val="0068424F"/>
    <w:rsid w:val="0068436C"/>
    <w:rsid w:val="00684877"/>
    <w:rsid w:val="006848CE"/>
    <w:rsid w:val="00684D13"/>
    <w:rsid w:val="00684EB1"/>
    <w:rsid w:val="00684F35"/>
    <w:rsid w:val="0068535C"/>
    <w:rsid w:val="00685967"/>
    <w:rsid w:val="006864C7"/>
    <w:rsid w:val="0068650F"/>
    <w:rsid w:val="00686621"/>
    <w:rsid w:val="00686CDE"/>
    <w:rsid w:val="00686CE2"/>
    <w:rsid w:val="00686CE3"/>
    <w:rsid w:val="00686DEC"/>
    <w:rsid w:val="00686E99"/>
    <w:rsid w:val="00686EBE"/>
    <w:rsid w:val="006871C4"/>
    <w:rsid w:val="006872B0"/>
    <w:rsid w:val="00687544"/>
    <w:rsid w:val="006875DB"/>
    <w:rsid w:val="00687862"/>
    <w:rsid w:val="00687AB0"/>
    <w:rsid w:val="00687C7D"/>
    <w:rsid w:val="00690649"/>
    <w:rsid w:val="006909FF"/>
    <w:rsid w:val="00690B27"/>
    <w:rsid w:val="00690B46"/>
    <w:rsid w:val="00690E38"/>
    <w:rsid w:val="0069131D"/>
    <w:rsid w:val="0069196E"/>
    <w:rsid w:val="006919CF"/>
    <w:rsid w:val="00691FB0"/>
    <w:rsid w:val="006921A7"/>
    <w:rsid w:val="006922F4"/>
    <w:rsid w:val="00692867"/>
    <w:rsid w:val="006928D9"/>
    <w:rsid w:val="00692FC7"/>
    <w:rsid w:val="00693082"/>
    <w:rsid w:val="0069330C"/>
    <w:rsid w:val="0069337D"/>
    <w:rsid w:val="00693733"/>
    <w:rsid w:val="00693BF9"/>
    <w:rsid w:val="00694299"/>
    <w:rsid w:val="006944B6"/>
    <w:rsid w:val="006947AA"/>
    <w:rsid w:val="00694A11"/>
    <w:rsid w:val="00694BD0"/>
    <w:rsid w:val="00694D2D"/>
    <w:rsid w:val="00694F5F"/>
    <w:rsid w:val="00695119"/>
    <w:rsid w:val="00695221"/>
    <w:rsid w:val="00695256"/>
    <w:rsid w:val="00695ADF"/>
    <w:rsid w:val="006960E5"/>
    <w:rsid w:val="0069633F"/>
    <w:rsid w:val="006964C6"/>
    <w:rsid w:val="00696F58"/>
    <w:rsid w:val="00697672"/>
    <w:rsid w:val="006979E8"/>
    <w:rsid w:val="006979F4"/>
    <w:rsid w:val="00697DCE"/>
    <w:rsid w:val="006A0318"/>
    <w:rsid w:val="006A03C1"/>
    <w:rsid w:val="006A069F"/>
    <w:rsid w:val="006A09F1"/>
    <w:rsid w:val="006A0A97"/>
    <w:rsid w:val="006A0C2E"/>
    <w:rsid w:val="006A0FC7"/>
    <w:rsid w:val="006A11C3"/>
    <w:rsid w:val="006A15A9"/>
    <w:rsid w:val="006A1688"/>
    <w:rsid w:val="006A19BB"/>
    <w:rsid w:val="006A19D3"/>
    <w:rsid w:val="006A1C6C"/>
    <w:rsid w:val="006A1D7F"/>
    <w:rsid w:val="006A1F78"/>
    <w:rsid w:val="006A2447"/>
    <w:rsid w:val="006A249F"/>
    <w:rsid w:val="006A24B6"/>
    <w:rsid w:val="006A27AD"/>
    <w:rsid w:val="006A280B"/>
    <w:rsid w:val="006A2A9C"/>
    <w:rsid w:val="006A2CD4"/>
    <w:rsid w:val="006A2E43"/>
    <w:rsid w:val="006A30C1"/>
    <w:rsid w:val="006A35EE"/>
    <w:rsid w:val="006A39A4"/>
    <w:rsid w:val="006A46F2"/>
    <w:rsid w:val="006A4D6E"/>
    <w:rsid w:val="006A500E"/>
    <w:rsid w:val="006A5218"/>
    <w:rsid w:val="006A5658"/>
    <w:rsid w:val="006A56E9"/>
    <w:rsid w:val="006A5B24"/>
    <w:rsid w:val="006A5BAF"/>
    <w:rsid w:val="006A634C"/>
    <w:rsid w:val="006A644C"/>
    <w:rsid w:val="006A64AC"/>
    <w:rsid w:val="006A69E5"/>
    <w:rsid w:val="006A6DEF"/>
    <w:rsid w:val="006A6E40"/>
    <w:rsid w:val="006A6F6F"/>
    <w:rsid w:val="006A7341"/>
    <w:rsid w:val="006A773C"/>
    <w:rsid w:val="006A787B"/>
    <w:rsid w:val="006A798D"/>
    <w:rsid w:val="006A7E4C"/>
    <w:rsid w:val="006B01D2"/>
    <w:rsid w:val="006B027C"/>
    <w:rsid w:val="006B0829"/>
    <w:rsid w:val="006B0ACD"/>
    <w:rsid w:val="006B0B0A"/>
    <w:rsid w:val="006B0B2A"/>
    <w:rsid w:val="006B0F04"/>
    <w:rsid w:val="006B13FB"/>
    <w:rsid w:val="006B149A"/>
    <w:rsid w:val="006B22C2"/>
    <w:rsid w:val="006B2A39"/>
    <w:rsid w:val="006B2A5A"/>
    <w:rsid w:val="006B2AC1"/>
    <w:rsid w:val="006B3029"/>
    <w:rsid w:val="006B30A1"/>
    <w:rsid w:val="006B3B09"/>
    <w:rsid w:val="006B3C7F"/>
    <w:rsid w:val="006B3D56"/>
    <w:rsid w:val="006B4396"/>
    <w:rsid w:val="006B4415"/>
    <w:rsid w:val="006B4515"/>
    <w:rsid w:val="006B4910"/>
    <w:rsid w:val="006B4AED"/>
    <w:rsid w:val="006B4D4C"/>
    <w:rsid w:val="006B4F84"/>
    <w:rsid w:val="006B4FE9"/>
    <w:rsid w:val="006B52A5"/>
    <w:rsid w:val="006B540C"/>
    <w:rsid w:val="006B5684"/>
    <w:rsid w:val="006B5A6F"/>
    <w:rsid w:val="006B5FAA"/>
    <w:rsid w:val="006B6262"/>
    <w:rsid w:val="006B641C"/>
    <w:rsid w:val="006B6A78"/>
    <w:rsid w:val="006B6A9F"/>
    <w:rsid w:val="006B6CC9"/>
    <w:rsid w:val="006B6D44"/>
    <w:rsid w:val="006B6D83"/>
    <w:rsid w:val="006B6EB2"/>
    <w:rsid w:val="006B731B"/>
    <w:rsid w:val="006B7481"/>
    <w:rsid w:val="006B7494"/>
    <w:rsid w:val="006B78FF"/>
    <w:rsid w:val="006B793E"/>
    <w:rsid w:val="006B7B34"/>
    <w:rsid w:val="006B7D08"/>
    <w:rsid w:val="006B7E34"/>
    <w:rsid w:val="006B7EB5"/>
    <w:rsid w:val="006C0181"/>
    <w:rsid w:val="006C039A"/>
    <w:rsid w:val="006C0F71"/>
    <w:rsid w:val="006C0FD0"/>
    <w:rsid w:val="006C128A"/>
    <w:rsid w:val="006C1301"/>
    <w:rsid w:val="006C16DE"/>
    <w:rsid w:val="006C1867"/>
    <w:rsid w:val="006C1B7A"/>
    <w:rsid w:val="006C1FF5"/>
    <w:rsid w:val="006C29D2"/>
    <w:rsid w:val="006C2AFD"/>
    <w:rsid w:val="006C2C22"/>
    <w:rsid w:val="006C2EB2"/>
    <w:rsid w:val="006C2F0E"/>
    <w:rsid w:val="006C332C"/>
    <w:rsid w:val="006C36AE"/>
    <w:rsid w:val="006C372B"/>
    <w:rsid w:val="006C3794"/>
    <w:rsid w:val="006C3D4B"/>
    <w:rsid w:val="006C3F8E"/>
    <w:rsid w:val="006C4770"/>
    <w:rsid w:val="006C4817"/>
    <w:rsid w:val="006C4884"/>
    <w:rsid w:val="006C48D8"/>
    <w:rsid w:val="006C4B1A"/>
    <w:rsid w:val="006C5009"/>
    <w:rsid w:val="006C57D6"/>
    <w:rsid w:val="006C58A9"/>
    <w:rsid w:val="006C58E1"/>
    <w:rsid w:val="006C5997"/>
    <w:rsid w:val="006C59D7"/>
    <w:rsid w:val="006C5A4E"/>
    <w:rsid w:val="006C6037"/>
    <w:rsid w:val="006C6455"/>
    <w:rsid w:val="006C6604"/>
    <w:rsid w:val="006C72B3"/>
    <w:rsid w:val="006C72EC"/>
    <w:rsid w:val="006C7644"/>
    <w:rsid w:val="006C7F24"/>
    <w:rsid w:val="006C7FE3"/>
    <w:rsid w:val="006D0016"/>
    <w:rsid w:val="006D029E"/>
    <w:rsid w:val="006D0495"/>
    <w:rsid w:val="006D08B8"/>
    <w:rsid w:val="006D0D1C"/>
    <w:rsid w:val="006D0FCB"/>
    <w:rsid w:val="006D13EE"/>
    <w:rsid w:val="006D1843"/>
    <w:rsid w:val="006D1AC6"/>
    <w:rsid w:val="006D1EC9"/>
    <w:rsid w:val="006D2130"/>
    <w:rsid w:val="006D23C5"/>
    <w:rsid w:val="006D280B"/>
    <w:rsid w:val="006D2993"/>
    <w:rsid w:val="006D2A4D"/>
    <w:rsid w:val="006D2C7E"/>
    <w:rsid w:val="006D2D5B"/>
    <w:rsid w:val="006D3040"/>
    <w:rsid w:val="006D3452"/>
    <w:rsid w:val="006D3606"/>
    <w:rsid w:val="006D376C"/>
    <w:rsid w:val="006D3798"/>
    <w:rsid w:val="006D3887"/>
    <w:rsid w:val="006D3B38"/>
    <w:rsid w:val="006D3D2A"/>
    <w:rsid w:val="006D3FA1"/>
    <w:rsid w:val="006D4096"/>
    <w:rsid w:val="006D41EF"/>
    <w:rsid w:val="006D43BF"/>
    <w:rsid w:val="006D4531"/>
    <w:rsid w:val="006D46D2"/>
    <w:rsid w:val="006D4B1A"/>
    <w:rsid w:val="006D50F7"/>
    <w:rsid w:val="006D5891"/>
    <w:rsid w:val="006D5B52"/>
    <w:rsid w:val="006D6182"/>
    <w:rsid w:val="006D66D3"/>
    <w:rsid w:val="006D6A11"/>
    <w:rsid w:val="006D6AC1"/>
    <w:rsid w:val="006D6C88"/>
    <w:rsid w:val="006D6DC0"/>
    <w:rsid w:val="006D704D"/>
    <w:rsid w:val="006D727E"/>
    <w:rsid w:val="006D72E1"/>
    <w:rsid w:val="006D734C"/>
    <w:rsid w:val="006D76C1"/>
    <w:rsid w:val="006D77B3"/>
    <w:rsid w:val="006D7927"/>
    <w:rsid w:val="006E006A"/>
    <w:rsid w:val="006E036F"/>
    <w:rsid w:val="006E05AF"/>
    <w:rsid w:val="006E081F"/>
    <w:rsid w:val="006E09B6"/>
    <w:rsid w:val="006E09F3"/>
    <w:rsid w:val="006E0DD1"/>
    <w:rsid w:val="006E0DEC"/>
    <w:rsid w:val="006E1965"/>
    <w:rsid w:val="006E1AE4"/>
    <w:rsid w:val="006E1B5D"/>
    <w:rsid w:val="006E1BE7"/>
    <w:rsid w:val="006E1C75"/>
    <w:rsid w:val="006E1CC9"/>
    <w:rsid w:val="006E1D42"/>
    <w:rsid w:val="006E20AA"/>
    <w:rsid w:val="006E28A5"/>
    <w:rsid w:val="006E2D48"/>
    <w:rsid w:val="006E3403"/>
    <w:rsid w:val="006E3853"/>
    <w:rsid w:val="006E38D1"/>
    <w:rsid w:val="006E3954"/>
    <w:rsid w:val="006E3D97"/>
    <w:rsid w:val="006E42C1"/>
    <w:rsid w:val="006E4CEE"/>
    <w:rsid w:val="006E5300"/>
    <w:rsid w:val="006E57CF"/>
    <w:rsid w:val="006E5CD5"/>
    <w:rsid w:val="006E5D1D"/>
    <w:rsid w:val="006E5FCB"/>
    <w:rsid w:val="006E61DD"/>
    <w:rsid w:val="006E65E2"/>
    <w:rsid w:val="006E6CEC"/>
    <w:rsid w:val="006E6E27"/>
    <w:rsid w:val="006E6E75"/>
    <w:rsid w:val="006E709A"/>
    <w:rsid w:val="006E70DE"/>
    <w:rsid w:val="006E73F6"/>
    <w:rsid w:val="006E7774"/>
    <w:rsid w:val="006E79CD"/>
    <w:rsid w:val="006E7C07"/>
    <w:rsid w:val="006E7DF9"/>
    <w:rsid w:val="006E7E9F"/>
    <w:rsid w:val="006F0035"/>
    <w:rsid w:val="006F0126"/>
    <w:rsid w:val="006F0158"/>
    <w:rsid w:val="006F020C"/>
    <w:rsid w:val="006F052E"/>
    <w:rsid w:val="006F0B97"/>
    <w:rsid w:val="006F0D6E"/>
    <w:rsid w:val="006F239E"/>
    <w:rsid w:val="006F23E9"/>
    <w:rsid w:val="006F2404"/>
    <w:rsid w:val="006F2AD0"/>
    <w:rsid w:val="006F2BE2"/>
    <w:rsid w:val="006F30EA"/>
    <w:rsid w:val="006F3191"/>
    <w:rsid w:val="006F3223"/>
    <w:rsid w:val="006F329A"/>
    <w:rsid w:val="006F37AA"/>
    <w:rsid w:val="006F3815"/>
    <w:rsid w:val="006F39A0"/>
    <w:rsid w:val="006F3E8A"/>
    <w:rsid w:val="006F3E9F"/>
    <w:rsid w:val="006F414F"/>
    <w:rsid w:val="006F43AF"/>
    <w:rsid w:val="006F4750"/>
    <w:rsid w:val="006F4A03"/>
    <w:rsid w:val="006F4A8F"/>
    <w:rsid w:val="006F4C29"/>
    <w:rsid w:val="006F4C92"/>
    <w:rsid w:val="006F4F21"/>
    <w:rsid w:val="006F4F59"/>
    <w:rsid w:val="006F549B"/>
    <w:rsid w:val="006F56C0"/>
    <w:rsid w:val="006F578B"/>
    <w:rsid w:val="006F57AE"/>
    <w:rsid w:val="006F586B"/>
    <w:rsid w:val="006F5BDB"/>
    <w:rsid w:val="006F5C90"/>
    <w:rsid w:val="006F6475"/>
    <w:rsid w:val="006F65E6"/>
    <w:rsid w:val="006F687A"/>
    <w:rsid w:val="006F6885"/>
    <w:rsid w:val="006F6D05"/>
    <w:rsid w:val="006F7361"/>
    <w:rsid w:val="006F739B"/>
    <w:rsid w:val="006F7503"/>
    <w:rsid w:val="006F7A3A"/>
    <w:rsid w:val="006F7B83"/>
    <w:rsid w:val="006F7D99"/>
    <w:rsid w:val="006F7DF2"/>
    <w:rsid w:val="0070037F"/>
    <w:rsid w:val="00700452"/>
    <w:rsid w:val="00700658"/>
    <w:rsid w:val="00700717"/>
    <w:rsid w:val="00700888"/>
    <w:rsid w:val="00700C38"/>
    <w:rsid w:val="00700D2F"/>
    <w:rsid w:val="00701529"/>
    <w:rsid w:val="00701587"/>
    <w:rsid w:val="00701AFE"/>
    <w:rsid w:val="00701C19"/>
    <w:rsid w:val="00701F99"/>
    <w:rsid w:val="0070201E"/>
    <w:rsid w:val="007021DD"/>
    <w:rsid w:val="00702367"/>
    <w:rsid w:val="0070269D"/>
    <w:rsid w:val="00702A2C"/>
    <w:rsid w:val="00702B94"/>
    <w:rsid w:val="00702C51"/>
    <w:rsid w:val="00702D84"/>
    <w:rsid w:val="0070333D"/>
    <w:rsid w:val="00703483"/>
    <w:rsid w:val="0070349D"/>
    <w:rsid w:val="007037DB"/>
    <w:rsid w:val="007038C8"/>
    <w:rsid w:val="00703BDA"/>
    <w:rsid w:val="00703F86"/>
    <w:rsid w:val="007041C5"/>
    <w:rsid w:val="0070420D"/>
    <w:rsid w:val="007043C6"/>
    <w:rsid w:val="007043C7"/>
    <w:rsid w:val="007045DD"/>
    <w:rsid w:val="00704695"/>
    <w:rsid w:val="0070472F"/>
    <w:rsid w:val="00704C11"/>
    <w:rsid w:val="00704C9C"/>
    <w:rsid w:val="00704FC0"/>
    <w:rsid w:val="007052E4"/>
    <w:rsid w:val="0070553D"/>
    <w:rsid w:val="007055AC"/>
    <w:rsid w:val="007058EE"/>
    <w:rsid w:val="0070598F"/>
    <w:rsid w:val="00705DF7"/>
    <w:rsid w:val="00705F41"/>
    <w:rsid w:val="00706066"/>
    <w:rsid w:val="00706443"/>
    <w:rsid w:val="00706AA3"/>
    <w:rsid w:val="00706DB9"/>
    <w:rsid w:val="00706FE3"/>
    <w:rsid w:val="0070723E"/>
    <w:rsid w:val="00707304"/>
    <w:rsid w:val="00707820"/>
    <w:rsid w:val="0070794B"/>
    <w:rsid w:val="00707D98"/>
    <w:rsid w:val="00707D9E"/>
    <w:rsid w:val="007101F2"/>
    <w:rsid w:val="0071033E"/>
    <w:rsid w:val="007106D2"/>
    <w:rsid w:val="00710720"/>
    <w:rsid w:val="00710861"/>
    <w:rsid w:val="00710956"/>
    <w:rsid w:val="00710AAC"/>
    <w:rsid w:val="00710ADB"/>
    <w:rsid w:val="00710C31"/>
    <w:rsid w:val="00710ECD"/>
    <w:rsid w:val="00710FB2"/>
    <w:rsid w:val="0071102B"/>
    <w:rsid w:val="007111EF"/>
    <w:rsid w:val="0071170E"/>
    <w:rsid w:val="00711880"/>
    <w:rsid w:val="00711B2E"/>
    <w:rsid w:val="00711C54"/>
    <w:rsid w:val="00711F54"/>
    <w:rsid w:val="007122E0"/>
    <w:rsid w:val="00712621"/>
    <w:rsid w:val="00712655"/>
    <w:rsid w:val="00712709"/>
    <w:rsid w:val="0071292A"/>
    <w:rsid w:val="0071314D"/>
    <w:rsid w:val="007131A0"/>
    <w:rsid w:val="007134BD"/>
    <w:rsid w:val="00713591"/>
    <w:rsid w:val="00713B87"/>
    <w:rsid w:val="00713C60"/>
    <w:rsid w:val="0071421E"/>
    <w:rsid w:val="0071430E"/>
    <w:rsid w:val="0071447F"/>
    <w:rsid w:val="00714527"/>
    <w:rsid w:val="007146DB"/>
    <w:rsid w:val="00714AC2"/>
    <w:rsid w:val="00714B82"/>
    <w:rsid w:val="00714CD5"/>
    <w:rsid w:val="00715018"/>
    <w:rsid w:val="007150D8"/>
    <w:rsid w:val="00715190"/>
    <w:rsid w:val="00715370"/>
    <w:rsid w:val="0071557C"/>
    <w:rsid w:val="0071559C"/>
    <w:rsid w:val="007159A1"/>
    <w:rsid w:val="00715A92"/>
    <w:rsid w:val="00715ADF"/>
    <w:rsid w:val="00715EC0"/>
    <w:rsid w:val="0071640E"/>
    <w:rsid w:val="00716427"/>
    <w:rsid w:val="007165C7"/>
    <w:rsid w:val="0071691E"/>
    <w:rsid w:val="007169B0"/>
    <w:rsid w:val="00716AFD"/>
    <w:rsid w:val="00716E4F"/>
    <w:rsid w:val="0071706D"/>
    <w:rsid w:val="007172FA"/>
    <w:rsid w:val="0071739C"/>
    <w:rsid w:val="007174D5"/>
    <w:rsid w:val="0071758A"/>
    <w:rsid w:val="007176B9"/>
    <w:rsid w:val="007176DC"/>
    <w:rsid w:val="00717AE1"/>
    <w:rsid w:val="00717E11"/>
    <w:rsid w:val="00717E4E"/>
    <w:rsid w:val="007201A6"/>
    <w:rsid w:val="0072048F"/>
    <w:rsid w:val="007204AA"/>
    <w:rsid w:val="007204EF"/>
    <w:rsid w:val="00720544"/>
    <w:rsid w:val="0072062E"/>
    <w:rsid w:val="007207C5"/>
    <w:rsid w:val="00720DF7"/>
    <w:rsid w:val="00720E0D"/>
    <w:rsid w:val="00721847"/>
    <w:rsid w:val="00721853"/>
    <w:rsid w:val="00721AAB"/>
    <w:rsid w:val="00721BBD"/>
    <w:rsid w:val="00721F3E"/>
    <w:rsid w:val="00722511"/>
    <w:rsid w:val="007227CA"/>
    <w:rsid w:val="00722AC7"/>
    <w:rsid w:val="00722DAC"/>
    <w:rsid w:val="007236D0"/>
    <w:rsid w:val="00723975"/>
    <w:rsid w:val="007239DA"/>
    <w:rsid w:val="00723BCF"/>
    <w:rsid w:val="00723D6F"/>
    <w:rsid w:val="0072433D"/>
    <w:rsid w:val="007244AB"/>
    <w:rsid w:val="007248E9"/>
    <w:rsid w:val="0072494D"/>
    <w:rsid w:val="00724C6C"/>
    <w:rsid w:val="00724D69"/>
    <w:rsid w:val="00725249"/>
    <w:rsid w:val="0072558A"/>
    <w:rsid w:val="007256B0"/>
    <w:rsid w:val="00725C08"/>
    <w:rsid w:val="00725EE8"/>
    <w:rsid w:val="0072689B"/>
    <w:rsid w:val="00726939"/>
    <w:rsid w:val="00726947"/>
    <w:rsid w:val="007269F1"/>
    <w:rsid w:val="00726A6A"/>
    <w:rsid w:val="00726B6F"/>
    <w:rsid w:val="00726CF0"/>
    <w:rsid w:val="0072740F"/>
    <w:rsid w:val="00727AD0"/>
    <w:rsid w:val="00727C0D"/>
    <w:rsid w:val="00727DAA"/>
    <w:rsid w:val="007302F5"/>
    <w:rsid w:val="0073061B"/>
    <w:rsid w:val="00730728"/>
    <w:rsid w:val="00730DB3"/>
    <w:rsid w:val="007310E9"/>
    <w:rsid w:val="00731231"/>
    <w:rsid w:val="007317DA"/>
    <w:rsid w:val="00731852"/>
    <w:rsid w:val="007318E6"/>
    <w:rsid w:val="00731B01"/>
    <w:rsid w:val="00731D9D"/>
    <w:rsid w:val="0073212E"/>
    <w:rsid w:val="00732178"/>
    <w:rsid w:val="00732262"/>
    <w:rsid w:val="00732A1C"/>
    <w:rsid w:val="00732A86"/>
    <w:rsid w:val="00732BDD"/>
    <w:rsid w:val="00732C32"/>
    <w:rsid w:val="00733037"/>
    <w:rsid w:val="007330D1"/>
    <w:rsid w:val="00733474"/>
    <w:rsid w:val="00733707"/>
    <w:rsid w:val="0073371E"/>
    <w:rsid w:val="0073389D"/>
    <w:rsid w:val="007339FC"/>
    <w:rsid w:val="00733C75"/>
    <w:rsid w:val="0073405B"/>
    <w:rsid w:val="00734355"/>
    <w:rsid w:val="00734624"/>
    <w:rsid w:val="00734665"/>
    <w:rsid w:val="00734E78"/>
    <w:rsid w:val="007351EF"/>
    <w:rsid w:val="007352F4"/>
    <w:rsid w:val="00735456"/>
    <w:rsid w:val="00735651"/>
    <w:rsid w:val="00735699"/>
    <w:rsid w:val="00735973"/>
    <w:rsid w:val="00736096"/>
    <w:rsid w:val="0073634A"/>
    <w:rsid w:val="00736485"/>
    <w:rsid w:val="00736542"/>
    <w:rsid w:val="007365BC"/>
    <w:rsid w:val="00736600"/>
    <w:rsid w:val="0073695A"/>
    <w:rsid w:val="00736D9C"/>
    <w:rsid w:val="00736DF2"/>
    <w:rsid w:val="007371AA"/>
    <w:rsid w:val="0073724C"/>
    <w:rsid w:val="0073739B"/>
    <w:rsid w:val="007375EB"/>
    <w:rsid w:val="0073799A"/>
    <w:rsid w:val="00737CE1"/>
    <w:rsid w:val="00737F6E"/>
    <w:rsid w:val="007403B5"/>
    <w:rsid w:val="00740767"/>
    <w:rsid w:val="007408EE"/>
    <w:rsid w:val="00740FB5"/>
    <w:rsid w:val="0074182E"/>
    <w:rsid w:val="00741AC1"/>
    <w:rsid w:val="00741C44"/>
    <w:rsid w:val="0074236A"/>
    <w:rsid w:val="00742818"/>
    <w:rsid w:val="00742A0E"/>
    <w:rsid w:val="00742F96"/>
    <w:rsid w:val="00743001"/>
    <w:rsid w:val="00743308"/>
    <w:rsid w:val="007435C7"/>
    <w:rsid w:val="007438E8"/>
    <w:rsid w:val="0074428A"/>
    <w:rsid w:val="0074444C"/>
    <w:rsid w:val="007444DA"/>
    <w:rsid w:val="0074496B"/>
    <w:rsid w:val="00744BFD"/>
    <w:rsid w:val="00744DF0"/>
    <w:rsid w:val="00744E4A"/>
    <w:rsid w:val="00744FD8"/>
    <w:rsid w:val="00744FD9"/>
    <w:rsid w:val="0074559C"/>
    <w:rsid w:val="007456AF"/>
    <w:rsid w:val="00745ACA"/>
    <w:rsid w:val="00746125"/>
    <w:rsid w:val="00746B82"/>
    <w:rsid w:val="00746CE5"/>
    <w:rsid w:val="00746CED"/>
    <w:rsid w:val="00746E64"/>
    <w:rsid w:val="00746FF0"/>
    <w:rsid w:val="007476F2"/>
    <w:rsid w:val="00747807"/>
    <w:rsid w:val="0074798F"/>
    <w:rsid w:val="007501F6"/>
    <w:rsid w:val="007508EB"/>
    <w:rsid w:val="00750AAF"/>
    <w:rsid w:val="00750BC5"/>
    <w:rsid w:val="00750FCA"/>
    <w:rsid w:val="00751165"/>
    <w:rsid w:val="007513B0"/>
    <w:rsid w:val="00751430"/>
    <w:rsid w:val="00751649"/>
    <w:rsid w:val="007516E1"/>
    <w:rsid w:val="00751718"/>
    <w:rsid w:val="007517B0"/>
    <w:rsid w:val="007518F4"/>
    <w:rsid w:val="00751948"/>
    <w:rsid w:val="00751B01"/>
    <w:rsid w:val="00751D4C"/>
    <w:rsid w:val="00751FCA"/>
    <w:rsid w:val="00752820"/>
    <w:rsid w:val="00752A9D"/>
    <w:rsid w:val="00752B20"/>
    <w:rsid w:val="00752D5E"/>
    <w:rsid w:val="00752FF4"/>
    <w:rsid w:val="00753192"/>
    <w:rsid w:val="007532D9"/>
    <w:rsid w:val="00753475"/>
    <w:rsid w:val="00753548"/>
    <w:rsid w:val="00753780"/>
    <w:rsid w:val="00753FB2"/>
    <w:rsid w:val="007540F6"/>
    <w:rsid w:val="0075426D"/>
    <w:rsid w:val="00754480"/>
    <w:rsid w:val="007544E1"/>
    <w:rsid w:val="007544E3"/>
    <w:rsid w:val="00754619"/>
    <w:rsid w:val="0075519E"/>
    <w:rsid w:val="00755289"/>
    <w:rsid w:val="007553C0"/>
    <w:rsid w:val="0075562B"/>
    <w:rsid w:val="00755695"/>
    <w:rsid w:val="007558D7"/>
    <w:rsid w:val="00755E52"/>
    <w:rsid w:val="00755EC9"/>
    <w:rsid w:val="0075606E"/>
    <w:rsid w:val="007564EF"/>
    <w:rsid w:val="00756544"/>
    <w:rsid w:val="007566A5"/>
    <w:rsid w:val="007568B2"/>
    <w:rsid w:val="00756D5E"/>
    <w:rsid w:val="00756D99"/>
    <w:rsid w:val="00756E8C"/>
    <w:rsid w:val="00756E8F"/>
    <w:rsid w:val="00756FF2"/>
    <w:rsid w:val="00757089"/>
    <w:rsid w:val="007570F5"/>
    <w:rsid w:val="007574B4"/>
    <w:rsid w:val="007575EC"/>
    <w:rsid w:val="00757695"/>
    <w:rsid w:val="00757837"/>
    <w:rsid w:val="00757884"/>
    <w:rsid w:val="00757B92"/>
    <w:rsid w:val="00760095"/>
    <w:rsid w:val="007604AF"/>
    <w:rsid w:val="00760956"/>
    <w:rsid w:val="007620E4"/>
    <w:rsid w:val="00762175"/>
    <w:rsid w:val="00762394"/>
    <w:rsid w:val="00762751"/>
    <w:rsid w:val="00762815"/>
    <w:rsid w:val="00762B2A"/>
    <w:rsid w:val="00762CF6"/>
    <w:rsid w:val="00762DA6"/>
    <w:rsid w:val="00762E48"/>
    <w:rsid w:val="00762ED6"/>
    <w:rsid w:val="00762F2D"/>
    <w:rsid w:val="00762FF8"/>
    <w:rsid w:val="00763065"/>
    <w:rsid w:val="0076399D"/>
    <w:rsid w:val="00763AEC"/>
    <w:rsid w:val="00763B6C"/>
    <w:rsid w:val="0076475A"/>
    <w:rsid w:val="00764CC3"/>
    <w:rsid w:val="00764DB0"/>
    <w:rsid w:val="00764F62"/>
    <w:rsid w:val="007653B4"/>
    <w:rsid w:val="00765C8B"/>
    <w:rsid w:val="00765F55"/>
    <w:rsid w:val="00766475"/>
    <w:rsid w:val="00766495"/>
    <w:rsid w:val="0076679C"/>
    <w:rsid w:val="00766EE3"/>
    <w:rsid w:val="00767162"/>
    <w:rsid w:val="007671DB"/>
    <w:rsid w:val="007672E5"/>
    <w:rsid w:val="007673FE"/>
    <w:rsid w:val="007675D5"/>
    <w:rsid w:val="00767C74"/>
    <w:rsid w:val="00767DF1"/>
    <w:rsid w:val="00767FDE"/>
    <w:rsid w:val="00770199"/>
    <w:rsid w:val="00770547"/>
    <w:rsid w:val="007705BA"/>
    <w:rsid w:val="00770931"/>
    <w:rsid w:val="00770B66"/>
    <w:rsid w:val="00770D29"/>
    <w:rsid w:val="00771113"/>
    <w:rsid w:val="007717BC"/>
    <w:rsid w:val="00771854"/>
    <w:rsid w:val="007718F8"/>
    <w:rsid w:val="00771ADE"/>
    <w:rsid w:val="00771F64"/>
    <w:rsid w:val="0077253E"/>
    <w:rsid w:val="0077277C"/>
    <w:rsid w:val="00772809"/>
    <w:rsid w:val="00772911"/>
    <w:rsid w:val="00772B32"/>
    <w:rsid w:val="0077303B"/>
    <w:rsid w:val="00773746"/>
    <w:rsid w:val="00773760"/>
    <w:rsid w:val="007738BD"/>
    <w:rsid w:val="00773A9F"/>
    <w:rsid w:val="00773DA2"/>
    <w:rsid w:val="00773DBC"/>
    <w:rsid w:val="00773DD4"/>
    <w:rsid w:val="00773FB0"/>
    <w:rsid w:val="00774012"/>
    <w:rsid w:val="007740EC"/>
    <w:rsid w:val="00774221"/>
    <w:rsid w:val="007744F1"/>
    <w:rsid w:val="00774A0C"/>
    <w:rsid w:val="00774FD2"/>
    <w:rsid w:val="0077525D"/>
    <w:rsid w:val="007754A3"/>
    <w:rsid w:val="00775B35"/>
    <w:rsid w:val="00775E27"/>
    <w:rsid w:val="0077622F"/>
    <w:rsid w:val="00776342"/>
    <w:rsid w:val="007765D2"/>
    <w:rsid w:val="007766DA"/>
    <w:rsid w:val="00776FDB"/>
    <w:rsid w:val="007772B9"/>
    <w:rsid w:val="0077778B"/>
    <w:rsid w:val="00777F25"/>
    <w:rsid w:val="00777F89"/>
    <w:rsid w:val="007803A8"/>
    <w:rsid w:val="00780981"/>
    <w:rsid w:val="00780AA5"/>
    <w:rsid w:val="00780F50"/>
    <w:rsid w:val="00780F8F"/>
    <w:rsid w:val="007813EC"/>
    <w:rsid w:val="0078157E"/>
    <w:rsid w:val="007816BA"/>
    <w:rsid w:val="00781743"/>
    <w:rsid w:val="00781CCE"/>
    <w:rsid w:val="00782196"/>
    <w:rsid w:val="007821CD"/>
    <w:rsid w:val="00782436"/>
    <w:rsid w:val="007826D0"/>
    <w:rsid w:val="00782B9E"/>
    <w:rsid w:val="00783074"/>
    <w:rsid w:val="007830A3"/>
    <w:rsid w:val="00783327"/>
    <w:rsid w:val="0078373B"/>
    <w:rsid w:val="0078383B"/>
    <w:rsid w:val="00783A69"/>
    <w:rsid w:val="007840AA"/>
    <w:rsid w:val="00784280"/>
    <w:rsid w:val="00784803"/>
    <w:rsid w:val="00784C0C"/>
    <w:rsid w:val="00784DF4"/>
    <w:rsid w:val="007850C5"/>
    <w:rsid w:val="00785337"/>
    <w:rsid w:val="00785525"/>
    <w:rsid w:val="007856E3"/>
    <w:rsid w:val="00785A09"/>
    <w:rsid w:val="007861EF"/>
    <w:rsid w:val="0078651D"/>
    <w:rsid w:val="00786A00"/>
    <w:rsid w:val="00786DB0"/>
    <w:rsid w:val="00786EE9"/>
    <w:rsid w:val="0078746F"/>
    <w:rsid w:val="0078749F"/>
    <w:rsid w:val="00787596"/>
    <w:rsid w:val="007879CB"/>
    <w:rsid w:val="00787A39"/>
    <w:rsid w:val="00787C50"/>
    <w:rsid w:val="00790122"/>
    <w:rsid w:val="00790272"/>
    <w:rsid w:val="007906D0"/>
    <w:rsid w:val="00790742"/>
    <w:rsid w:val="007908B5"/>
    <w:rsid w:val="0079121F"/>
    <w:rsid w:val="0079134E"/>
    <w:rsid w:val="007913BE"/>
    <w:rsid w:val="007913BF"/>
    <w:rsid w:val="00791726"/>
    <w:rsid w:val="007918E4"/>
    <w:rsid w:val="0079195E"/>
    <w:rsid w:val="0079205A"/>
    <w:rsid w:val="007922A8"/>
    <w:rsid w:val="007923B8"/>
    <w:rsid w:val="007924A6"/>
    <w:rsid w:val="00792916"/>
    <w:rsid w:val="00792B7A"/>
    <w:rsid w:val="00792BE7"/>
    <w:rsid w:val="00793C9F"/>
    <w:rsid w:val="00793F16"/>
    <w:rsid w:val="00794088"/>
    <w:rsid w:val="0079462D"/>
    <w:rsid w:val="00794969"/>
    <w:rsid w:val="00794EC2"/>
    <w:rsid w:val="007951D4"/>
    <w:rsid w:val="0079542F"/>
    <w:rsid w:val="007956BC"/>
    <w:rsid w:val="00795756"/>
    <w:rsid w:val="00795775"/>
    <w:rsid w:val="007958A7"/>
    <w:rsid w:val="00795AA2"/>
    <w:rsid w:val="00795B65"/>
    <w:rsid w:val="00796096"/>
    <w:rsid w:val="007960BD"/>
    <w:rsid w:val="007960CB"/>
    <w:rsid w:val="007960E9"/>
    <w:rsid w:val="0079744B"/>
    <w:rsid w:val="007974A5"/>
    <w:rsid w:val="007977C4"/>
    <w:rsid w:val="007977DA"/>
    <w:rsid w:val="00797B29"/>
    <w:rsid w:val="00797CF1"/>
    <w:rsid w:val="00797E35"/>
    <w:rsid w:val="00797F82"/>
    <w:rsid w:val="007A0467"/>
    <w:rsid w:val="007A089D"/>
    <w:rsid w:val="007A0CB9"/>
    <w:rsid w:val="007A1579"/>
    <w:rsid w:val="007A16DC"/>
    <w:rsid w:val="007A1A58"/>
    <w:rsid w:val="007A1F7F"/>
    <w:rsid w:val="007A23E0"/>
    <w:rsid w:val="007A284A"/>
    <w:rsid w:val="007A3119"/>
    <w:rsid w:val="007A3712"/>
    <w:rsid w:val="007A394E"/>
    <w:rsid w:val="007A3A17"/>
    <w:rsid w:val="007A3BA0"/>
    <w:rsid w:val="007A3D41"/>
    <w:rsid w:val="007A44E8"/>
    <w:rsid w:val="007A4C06"/>
    <w:rsid w:val="007A5232"/>
    <w:rsid w:val="007A5353"/>
    <w:rsid w:val="007A5614"/>
    <w:rsid w:val="007A5C12"/>
    <w:rsid w:val="007A5C8C"/>
    <w:rsid w:val="007A5F46"/>
    <w:rsid w:val="007A62BA"/>
    <w:rsid w:val="007A6AB2"/>
    <w:rsid w:val="007A6B63"/>
    <w:rsid w:val="007A754B"/>
    <w:rsid w:val="007A7A3D"/>
    <w:rsid w:val="007A7DF9"/>
    <w:rsid w:val="007A7F37"/>
    <w:rsid w:val="007A7F52"/>
    <w:rsid w:val="007B01F6"/>
    <w:rsid w:val="007B03D3"/>
    <w:rsid w:val="007B0768"/>
    <w:rsid w:val="007B0875"/>
    <w:rsid w:val="007B0AB8"/>
    <w:rsid w:val="007B0AC0"/>
    <w:rsid w:val="007B0BAF"/>
    <w:rsid w:val="007B0D78"/>
    <w:rsid w:val="007B0DAA"/>
    <w:rsid w:val="007B0E29"/>
    <w:rsid w:val="007B0F59"/>
    <w:rsid w:val="007B117F"/>
    <w:rsid w:val="007B1212"/>
    <w:rsid w:val="007B1213"/>
    <w:rsid w:val="007B15EC"/>
    <w:rsid w:val="007B15F7"/>
    <w:rsid w:val="007B1C5D"/>
    <w:rsid w:val="007B21A4"/>
    <w:rsid w:val="007B2357"/>
    <w:rsid w:val="007B2605"/>
    <w:rsid w:val="007B2A57"/>
    <w:rsid w:val="007B30A9"/>
    <w:rsid w:val="007B3105"/>
    <w:rsid w:val="007B3462"/>
    <w:rsid w:val="007B34A4"/>
    <w:rsid w:val="007B3882"/>
    <w:rsid w:val="007B3972"/>
    <w:rsid w:val="007B3AE5"/>
    <w:rsid w:val="007B3BE4"/>
    <w:rsid w:val="007B3D69"/>
    <w:rsid w:val="007B3FB5"/>
    <w:rsid w:val="007B3FD2"/>
    <w:rsid w:val="007B422B"/>
    <w:rsid w:val="007B46F3"/>
    <w:rsid w:val="007B473C"/>
    <w:rsid w:val="007B4771"/>
    <w:rsid w:val="007B4B61"/>
    <w:rsid w:val="007B4B96"/>
    <w:rsid w:val="007B4C85"/>
    <w:rsid w:val="007B51D5"/>
    <w:rsid w:val="007B5322"/>
    <w:rsid w:val="007B5323"/>
    <w:rsid w:val="007B5781"/>
    <w:rsid w:val="007B591C"/>
    <w:rsid w:val="007B5B32"/>
    <w:rsid w:val="007B5B7A"/>
    <w:rsid w:val="007B6C5D"/>
    <w:rsid w:val="007B6F7A"/>
    <w:rsid w:val="007B7220"/>
    <w:rsid w:val="007B75A4"/>
    <w:rsid w:val="007B76B6"/>
    <w:rsid w:val="007B7769"/>
    <w:rsid w:val="007B77B7"/>
    <w:rsid w:val="007B7832"/>
    <w:rsid w:val="007B7881"/>
    <w:rsid w:val="007B7975"/>
    <w:rsid w:val="007B79A0"/>
    <w:rsid w:val="007B7EDF"/>
    <w:rsid w:val="007C023D"/>
    <w:rsid w:val="007C040E"/>
    <w:rsid w:val="007C0621"/>
    <w:rsid w:val="007C0810"/>
    <w:rsid w:val="007C0A3F"/>
    <w:rsid w:val="007C0B69"/>
    <w:rsid w:val="007C0E0D"/>
    <w:rsid w:val="007C0E95"/>
    <w:rsid w:val="007C1270"/>
    <w:rsid w:val="007C12E1"/>
    <w:rsid w:val="007C15CD"/>
    <w:rsid w:val="007C17C1"/>
    <w:rsid w:val="007C19E0"/>
    <w:rsid w:val="007C1AD4"/>
    <w:rsid w:val="007C1C72"/>
    <w:rsid w:val="007C2285"/>
    <w:rsid w:val="007C2359"/>
    <w:rsid w:val="007C2932"/>
    <w:rsid w:val="007C2E1A"/>
    <w:rsid w:val="007C3173"/>
    <w:rsid w:val="007C3184"/>
    <w:rsid w:val="007C3682"/>
    <w:rsid w:val="007C36AF"/>
    <w:rsid w:val="007C389F"/>
    <w:rsid w:val="007C3BF6"/>
    <w:rsid w:val="007C3CDE"/>
    <w:rsid w:val="007C3D5B"/>
    <w:rsid w:val="007C3EFD"/>
    <w:rsid w:val="007C3FB0"/>
    <w:rsid w:val="007C5362"/>
    <w:rsid w:val="007C55A5"/>
    <w:rsid w:val="007C57BD"/>
    <w:rsid w:val="007C580E"/>
    <w:rsid w:val="007C59DA"/>
    <w:rsid w:val="007C5F52"/>
    <w:rsid w:val="007C70C0"/>
    <w:rsid w:val="007C723B"/>
    <w:rsid w:val="007C72EF"/>
    <w:rsid w:val="007C76CA"/>
    <w:rsid w:val="007D00C9"/>
    <w:rsid w:val="007D03A8"/>
    <w:rsid w:val="007D060A"/>
    <w:rsid w:val="007D0616"/>
    <w:rsid w:val="007D0933"/>
    <w:rsid w:val="007D0962"/>
    <w:rsid w:val="007D0C92"/>
    <w:rsid w:val="007D12B0"/>
    <w:rsid w:val="007D13B4"/>
    <w:rsid w:val="007D1547"/>
    <w:rsid w:val="007D15FD"/>
    <w:rsid w:val="007D17D8"/>
    <w:rsid w:val="007D286C"/>
    <w:rsid w:val="007D2B17"/>
    <w:rsid w:val="007D3075"/>
    <w:rsid w:val="007D3388"/>
    <w:rsid w:val="007D35A7"/>
    <w:rsid w:val="007D43F5"/>
    <w:rsid w:val="007D48F2"/>
    <w:rsid w:val="007D4B3C"/>
    <w:rsid w:val="007D4D7B"/>
    <w:rsid w:val="007D4FE3"/>
    <w:rsid w:val="007D5041"/>
    <w:rsid w:val="007D5094"/>
    <w:rsid w:val="007D5354"/>
    <w:rsid w:val="007D5446"/>
    <w:rsid w:val="007D596B"/>
    <w:rsid w:val="007D5EB6"/>
    <w:rsid w:val="007D5F32"/>
    <w:rsid w:val="007D61AA"/>
    <w:rsid w:val="007D61BB"/>
    <w:rsid w:val="007D628E"/>
    <w:rsid w:val="007D632E"/>
    <w:rsid w:val="007D65DC"/>
    <w:rsid w:val="007D6ABB"/>
    <w:rsid w:val="007D6F01"/>
    <w:rsid w:val="007D7227"/>
    <w:rsid w:val="007D7343"/>
    <w:rsid w:val="007D779E"/>
    <w:rsid w:val="007D7B14"/>
    <w:rsid w:val="007D7E86"/>
    <w:rsid w:val="007D7E87"/>
    <w:rsid w:val="007E0331"/>
    <w:rsid w:val="007E0724"/>
    <w:rsid w:val="007E1324"/>
    <w:rsid w:val="007E189A"/>
    <w:rsid w:val="007E1AAB"/>
    <w:rsid w:val="007E1D08"/>
    <w:rsid w:val="007E1DDD"/>
    <w:rsid w:val="007E1F85"/>
    <w:rsid w:val="007E29B6"/>
    <w:rsid w:val="007E2A7B"/>
    <w:rsid w:val="007E2AA2"/>
    <w:rsid w:val="007E3404"/>
    <w:rsid w:val="007E34F4"/>
    <w:rsid w:val="007E3574"/>
    <w:rsid w:val="007E383C"/>
    <w:rsid w:val="007E3934"/>
    <w:rsid w:val="007E3993"/>
    <w:rsid w:val="007E3C99"/>
    <w:rsid w:val="007E3D7A"/>
    <w:rsid w:val="007E4302"/>
    <w:rsid w:val="007E4335"/>
    <w:rsid w:val="007E442A"/>
    <w:rsid w:val="007E46C1"/>
    <w:rsid w:val="007E4780"/>
    <w:rsid w:val="007E4BBB"/>
    <w:rsid w:val="007E4C7B"/>
    <w:rsid w:val="007E4FC3"/>
    <w:rsid w:val="007E50BE"/>
    <w:rsid w:val="007E50E8"/>
    <w:rsid w:val="007E5B0F"/>
    <w:rsid w:val="007E5BD0"/>
    <w:rsid w:val="007E5D87"/>
    <w:rsid w:val="007E5DBA"/>
    <w:rsid w:val="007E5DF5"/>
    <w:rsid w:val="007E5E8C"/>
    <w:rsid w:val="007E5F80"/>
    <w:rsid w:val="007E654F"/>
    <w:rsid w:val="007E6D50"/>
    <w:rsid w:val="007E6FF3"/>
    <w:rsid w:val="007E7003"/>
    <w:rsid w:val="007E731F"/>
    <w:rsid w:val="007E76E1"/>
    <w:rsid w:val="007E785E"/>
    <w:rsid w:val="007E7985"/>
    <w:rsid w:val="007E7B87"/>
    <w:rsid w:val="007E7E79"/>
    <w:rsid w:val="007E7F0A"/>
    <w:rsid w:val="007E7FE4"/>
    <w:rsid w:val="007F0857"/>
    <w:rsid w:val="007F0B5A"/>
    <w:rsid w:val="007F0EB8"/>
    <w:rsid w:val="007F10D8"/>
    <w:rsid w:val="007F117D"/>
    <w:rsid w:val="007F1196"/>
    <w:rsid w:val="007F12A5"/>
    <w:rsid w:val="007F1549"/>
    <w:rsid w:val="007F17C8"/>
    <w:rsid w:val="007F1818"/>
    <w:rsid w:val="007F1917"/>
    <w:rsid w:val="007F1BBE"/>
    <w:rsid w:val="007F1C4E"/>
    <w:rsid w:val="007F1F23"/>
    <w:rsid w:val="007F21F8"/>
    <w:rsid w:val="007F2622"/>
    <w:rsid w:val="007F26FE"/>
    <w:rsid w:val="007F2B2D"/>
    <w:rsid w:val="007F2CFD"/>
    <w:rsid w:val="007F2D71"/>
    <w:rsid w:val="007F2DA0"/>
    <w:rsid w:val="007F2DDF"/>
    <w:rsid w:val="007F2DE5"/>
    <w:rsid w:val="007F301C"/>
    <w:rsid w:val="007F32ED"/>
    <w:rsid w:val="007F3571"/>
    <w:rsid w:val="007F3912"/>
    <w:rsid w:val="007F398E"/>
    <w:rsid w:val="007F3AF4"/>
    <w:rsid w:val="007F3C58"/>
    <w:rsid w:val="007F3CD9"/>
    <w:rsid w:val="007F4004"/>
    <w:rsid w:val="007F40D2"/>
    <w:rsid w:val="007F4201"/>
    <w:rsid w:val="007F4456"/>
    <w:rsid w:val="007F4500"/>
    <w:rsid w:val="007F46F7"/>
    <w:rsid w:val="007F48FA"/>
    <w:rsid w:val="007F5125"/>
    <w:rsid w:val="007F5261"/>
    <w:rsid w:val="007F5C1B"/>
    <w:rsid w:val="007F5EC4"/>
    <w:rsid w:val="007F611A"/>
    <w:rsid w:val="007F616D"/>
    <w:rsid w:val="007F69C4"/>
    <w:rsid w:val="007F69C8"/>
    <w:rsid w:val="007F69EC"/>
    <w:rsid w:val="007F6B5A"/>
    <w:rsid w:val="007F742D"/>
    <w:rsid w:val="007F749C"/>
    <w:rsid w:val="007F76B3"/>
    <w:rsid w:val="007F7830"/>
    <w:rsid w:val="007F7AAF"/>
    <w:rsid w:val="007F7AB2"/>
    <w:rsid w:val="007F7E04"/>
    <w:rsid w:val="007F7E41"/>
    <w:rsid w:val="008000AE"/>
    <w:rsid w:val="00800145"/>
    <w:rsid w:val="00800194"/>
    <w:rsid w:val="00800307"/>
    <w:rsid w:val="008003CB"/>
    <w:rsid w:val="00800584"/>
    <w:rsid w:val="00800855"/>
    <w:rsid w:val="00800A32"/>
    <w:rsid w:val="00800CD7"/>
    <w:rsid w:val="00800DC5"/>
    <w:rsid w:val="00801CED"/>
    <w:rsid w:val="00801D6F"/>
    <w:rsid w:val="00801DEF"/>
    <w:rsid w:val="00801F87"/>
    <w:rsid w:val="0080208E"/>
    <w:rsid w:val="00802373"/>
    <w:rsid w:val="008025A2"/>
    <w:rsid w:val="00802696"/>
    <w:rsid w:val="00802D7F"/>
    <w:rsid w:val="00802F3D"/>
    <w:rsid w:val="0080301C"/>
    <w:rsid w:val="0080317E"/>
    <w:rsid w:val="008034C9"/>
    <w:rsid w:val="008037E1"/>
    <w:rsid w:val="00803D42"/>
    <w:rsid w:val="00803E05"/>
    <w:rsid w:val="00803E2F"/>
    <w:rsid w:val="00803F8F"/>
    <w:rsid w:val="00804652"/>
    <w:rsid w:val="00804DF6"/>
    <w:rsid w:val="00804EBC"/>
    <w:rsid w:val="00804F03"/>
    <w:rsid w:val="0080529A"/>
    <w:rsid w:val="00805381"/>
    <w:rsid w:val="008056C1"/>
    <w:rsid w:val="00805A8F"/>
    <w:rsid w:val="00805B12"/>
    <w:rsid w:val="00805B55"/>
    <w:rsid w:val="00805C52"/>
    <w:rsid w:val="008061C1"/>
    <w:rsid w:val="0080624E"/>
    <w:rsid w:val="008062EA"/>
    <w:rsid w:val="0080668E"/>
    <w:rsid w:val="0080669B"/>
    <w:rsid w:val="008066EE"/>
    <w:rsid w:val="00806D15"/>
    <w:rsid w:val="00806D3B"/>
    <w:rsid w:val="008071E4"/>
    <w:rsid w:val="008072C0"/>
    <w:rsid w:val="008078D9"/>
    <w:rsid w:val="00807A41"/>
    <w:rsid w:val="00807E00"/>
    <w:rsid w:val="00807E59"/>
    <w:rsid w:val="00810310"/>
    <w:rsid w:val="0081042A"/>
    <w:rsid w:val="008106A7"/>
    <w:rsid w:val="008106D9"/>
    <w:rsid w:val="00810888"/>
    <w:rsid w:val="008109A1"/>
    <w:rsid w:val="00810BD3"/>
    <w:rsid w:val="00810D4B"/>
    <w:rsid w:val="00810DC5"/>
    <w:rsid w:val="00811102"/>
    <w:rsid w:val="00811C99"/>
    <w:rsid w:val="00811FCE"/>
    <w:rsid w:val="0081210E"/>
    <w:rsid w:val="00812776"/>
    <w:rsid w:val="00812E6A"/>
    <w:rsid w:val="00812F51"/>
    <w:rsid w:val="00812FE9"/>
    <w:rsid w:val="00813034"/>
    <w:rsid w:val="008130AE"/>
    <w:rsid w:val="00813294"/>
    <w:rsid w:val="008135F2"/>
    <w:rsid w:val="00813A52"/>
    <w:rsid w:val="00813E33"/>
    <w:rsid w:val="008146B1"/>
    <w:rsid w:val="00814BAF"/>
    <w:rsid w:val="00814DC6"/>
    <w:rsid w:val="00814EE6"/>
    <w:rsid w:val="00814FD7"/>
    <w:rsid w:val="00815083"/>
    <w:rsid w:val="00815B7E"/>
    <w:rsid w:val="00815C31"/>
    <w:rsid w:val="00815CBD"/>
    <w:rsid w:val="00815CE3"/>
    <w:rsid w:val="00815F9C"/>
    <w:rsid w:val="00815FB8"/>
    <w:rsid w:val="0081609A"/>
    <w:rsid w:val="0081628E"/>
    <w:rsid w:val="00816DC8"/>
    <w:rsid w:val="00816FEE"/>
    <w:rsid w:val="00817399"/>
    <w:rsid w:val="008173C0"/>
    <w:rsid w:val="008173EE"/>
    <w:rsid w:val="0081791A"/>
    <w:rsid w:val="0082026A"/>
    <w:rsid w:val="008206AF"/>
    <w:rsid w:val="008209DF"/>
    <w:rsid w:val="00820D32"/>
    <w:rsid w:val="00820F2E"/>
    <w:rsid w:val="00820F50"/>
    <w:rsid w:val="0082152F"/>
    <w:rsid w:val="0082161E"/>
    <w:rsid w:val="00821BED"/>
    <w:rsid w:val="00821C21"/>
    <w:rsid w:val="00821D40"/>
    <w:rsid w:val="00821DFB"/>
    <w:rsid w:val="00821EF2"/>
    <w:rsid w:val="00822010"/>
    <w:rsid w:val="00822049"/>
    <w:rsid w:val="0082229A"/>
    <w:rsid w:val="0082235D"/>
    <w:rsid w:val="008225C1"/>
    <w:rsid w:val="00822862"/>
    <w:rsid w:val="00822984"/>
    <w:rsid w:val="00822BB7"/>
    <w:rsid w:val="008232A9"/>
    <w:rsid w:val="008233B6"/>
    <w:rsid w:val="008237F2"/>
    <w:rsid w:val="00823A3E"/>
    <w:rsid w:val="00823F2B"/>
    <w:rsid w:val="0082410C"/>
    <w:rsid w:val="00824417"/>
    <w:rsid w:val="00824BE4"/>
    <w:rsid w:val="00824CC1"/>
    <w:rsid w:val="00824D64"/>
    <w:rsid w:val="008251DA"/>
    <w:rsid w:val="008252CB"/>
    <w:rsid w:val="00825418"/>
    <w:rsid w:val="00825ABC"/>
    <w:rsid w:val="00825DA4"/>
    <w:rsid w:val="00825E05"/>
    <w:rsid w:val="00825F2E"/>
    <w:rsid w:val="00826838"/>
    <w:rsid w:val="00826B03"/>
    <w:rsid w:val="00826D69"/>
    <w:rsid w:val="00826F0F"/>
    <w:rsid w:val="00826FAB"/>
    <w:rsid w:val="008272CE"/>
    <w:rsid w:val="008275D9"/>
    <w:rsid w:val="00827AFE"/>
    <w:rsid w:val="0083049D"/>
    <w:rsid w:val="008306E3"/>
    <w:rsid w:val="0083088B"/>
    <w:rsid w:val="0083140D"/>
    <w:rsid w:val="00832465"/>
    <w:rsid w:val="0083246F"/>
    <w:rsid w:val="00832686"/>
    <w:rsid w:val="008326BE"/>
    <w:rsid w:val="008327D7"/>
    <w:rsid w:val="00833018"/>
    <w:rsid w:val="00833461"/>
    <w:rsid w:val="008335E1"/>
    <w:rsid w:val="008336CC"/>
    <w:rsid w:val="00833D64"/>
    <w:rsid w:val="008343F2"/>
    <w:rsid w:val="008347F1"/>
    <w:rsid w:val="00834858"/>
    <w:rsid w:val="0083487C"/>
    <w:rsid w:val="008349FA"/>
    <w:rsid w:val="00834B65"/>
    <w:rsid w:val="00834C94"/>
    <w:rsid w:val="00834CC6"/>
    <w:rsid w:val="00834D86"/>
    <w:rsid w:val="00834E70"/>
    <w:rsid w:val="00834F76"/>
    <w:rsid w:val="00835051"/>
    <w:rsid w:val="00835622"/>
    <w:rsid w:val="008356D1"/>
    <w:rsid w:val="00835914"/>
    <w:rsid w:val="00835CB9"/>
    <w:rsid w:val="00835DD0"/>
    <w:rsid w:val="00836011"/>
    <w:rsid w:val="008364D6"/>
    <w:rsid w:val="008366E2"/>
    <w:rsid w:val="00836767"/>
    <w:rsid w:val="0083676B"/>
    <w:rsid w:val="00836EDC"/>
    <w:rsid w:val="0083717B"/>
    <w:rsid w:val="0083735E"/>
    <w:rsid w:val="008373F3"/>
    <w:rsid w:val="008377AC"/>
    <w:rsid w:val="0083790B"/>
    <w:rsid w:val="00837F97"/>
    <w:rsid w:val="00840088"/>
    <w:rsid w:val="00840505"/>
    <w:rsid w:val="0084052C"/>
    <w:rsid w:val="0084056B"/>
    <w:rsid w:val="008405B2"/>
    <w:rsid w:val="00840AEA"/>
    <w:rsid w:val="00841853"/>
    <w:rsid w:val="00841932"/>
    <w:rsid w:val="0084216E"/>
    <w:rsid w:val="008423A2"/>
    <w:rsid w:val="008423EB"/>
    <w:rsid w:val="0084258E"/>
    <w:rsid w:val="00842CE9"/>
    <w:rsid w:val="00842E9D"/>
    <w:rsid w:val="00842EF9"/>
    <w:rsid w:val="0084349B"/>
    <w:rsid w:val="0084376B"/>
    <w:rsid w:val="008438FE"/>
    <w:rsid w:val="008439E0"/>
    <w:rsid w:val="00843F30"/>
    <w:rsid w:val="00843FC4"/>
    <w:rsid w:val="0084456D"/>
    <w:rsid w:val="008449A1"/>
    <w:rsid w:val="008449A8"/>
    <w:rsid w:val="00844DA9"/>
    <w:rsid w:val="00844F6F"/>
    <w:rsid w:val="00844F71"/>
    <w:rsid w:val="00845621"/>
    <w:rsid w:val="008459D5"/>
    <w:rsid w:val="008461F9"/>
    <w:rsid w:val="008463DF"/>
    <w:rsid w:val="0084668F"/>
    <w:rsid w:val="00846EF2"/>
    <w:rsid w:val="00846F2F"/>
    <w:rsid w:val="00847233"/>
    <w:rsid w:val="0084730E"/>
    <w:rsid w:val="008473AC"/>
    <w:rsid w:val="0084744C"/>
    <w:rsid w:val="00847832"/>
    <w:rsid w:val="00847B76"/>
    <w:rsid w:val="00847C5C"/>
    <w:rsid w:val="00847D2F"/>
    <w:rsid w:val="00847F22"/>
    <w:rsid w:val="0085011E"/>
    <w:rsid w:val="00850437"/>
    <w:rsid w:val="0085047C"/>
    <w:rsid w:val="00850A20"/>
    <w:rsid w:val="00850DB6"/>
    <w:rsid w:val="00850F55"/>
    <w:rsid w:val="00851DDB"/>
    <w:rsid w:val="00851E33"/>
    <w:rsid w:val="0085220C"/>
    <w:rsid w:val="008522F3"/>
    <w:rsid w:val="00852602"/>
    <w:rsid w:val="008526A3"/>
    <w:rsid w:val="008526E7"/>
    <w:rsid w:val="008528A8"/>
    <w:rsid w:val="00852A83"/>
    <w:rsid w:val="00853506"/>
    <w:rsid w:val="0085366F"/>
    <w:rsid w:val="0085372A"/>
    <w:rsid w:val="008539A0"/>
    <w:rsid w:val="008539E2"/>
    <w:rsid w:val="00853A19"/>
    <w:rsid w:val="00853C42"/>
    <w:rsid w:val="00853FA7"/>
    <w:rsid w:val="008541CD"/>
    <w:rsid w:val="00854253"/>
    <w:rsid w:val="00854370"/>
    <w:rsid w:val="0085441E"/>
    <w:rsid w:val="0085493C"/>
    <w:rsid w:val="008549A5"/>
    <w:rsid w:val="00855827"/>
    <w:rsid w:val="00855D36"/>
    <w:rsid w:val="00855E7D"/>
    <w:rsid w:val="00855F09"/>
    <w:rsid w:val="008566D8"/>
    <w:rsid w:val="0085678C"/>
    <w:rsid w:val="00856838"/>
    <w:rsid w:val="00856BFA"/>
    <w:rsid w:val="0085708D"/>
    <w:rsid w:val="008571AD"/>
    <w:rsid w:val="00857721"/>
    <w:rsid w:val="00857836"/>
    <w:rsid w:val="00857952"/>
    <w:rsid w:val="00857E6F"/>
    <w:rsid w:val="00857EBC"/>
    <w:rsid w:val="008600DA"/>
    <w:rsid w:val="008604A9"/>
    <w:rsid w:val="00860603"/>
    <w:rsid w:val="00860808"/>
    <w:rsid w:val="00860FD2"/>
    <w:rsid w:val="00861346"/>
    <w:rsid w:val="00861860"/>
    <w:rsid w:val="00861A0D"/>
    <w:rsid w:val="00861AA1"/>
    <w:rsid w:val="00861B9D"/>
    <w:rsid w:val="00861C95"/>
    <w:rsid w:val="00861C9A"/>
    <w:rsid w:val="00861F92"/>
    <w:rsid w:val="008621EB"/>
    <w:rsid w:val="00862337"/>
    <w:rsid w:val="0086269A"/>
    <w:rsid w:val="008627C5"/>
    <w:rsid w:val="00862827"/>
    <w:rsid w:val="008629FB"/>
    <w:rsid w:val="00862A5A"/>
    <w:rsid w:val="00862F5D"/>
    <w:rsid w:val="0086326F"/>
    <w:rsid w:val="00863276"/>
    <w:rsid w:val="0086365A"/>
    <w:rsid w:val="008636E7"/>
    <w:rsid w:val="0086384A"/>
    <w:rsid w:val="00863B65"/>
    <w:rsid w:val="00863CBD"/>
    <w:rsid w:val="00863F5B"/>
    <w:rsid w:val="008643F1"/>
    <w:rsid w:val="00864400"/>
    <w:rsid w:val="0086456A"/>
    <w:rsid w:val="00864BD2"/>
    <w:rsid w:val="00864FAA"/>
    <w:rsid w:val="008650AA"/>
    <w:rsid w:val="008650DD"/>
    <w:rsid w:val="00865224"/>
    <w:rsid w:val="00865769"/>
    <w:rsid w:val="0086580B"/>
    <w:rsid w:val="00865B62"/>
    <w:rsid w:val="00865DDB"/>
    <w:rsid w:val="00865E52"/>
    <w:rsid w:val="00865FD7"/>
    <w:rsid w:val="008662D3"/>
    <w:rsid w:val="0086630D"/>
    <w:rsid w:val="0086652C"/>
    <w:rsid w:val="0086652F"/>
    <w:rsid w:val="0086665C"/>
    <w:rsid w:val="00866808"/>
    <w:rsid w:val="0086689C"/>
    <w:rsid w:val="008669A9"/>
    <w:rsid w:val="008669F1"/>
    <w:rsid w:val="00866C3F"/>
    <w:rsid w:val="0086705C"/>
    <w:rsid w:val="00867286"/>
    <w:rsid w:val="0086729B"/>
    <w:rsid w:val="00867803"/>
    <w:rsid w:val="00867C68"/>
    <w:rsid w:val="00867E10"/>
    <w:rsid w:val="00870B9F"/>
    <w:rsid w:val="00870CFA"/>
    <w:rsid w:val="00870D70"/>
    <w:rsid w:val="00871286"/>
    <w:rsid w:val="0087185F"/>
    <w:rsid w:val="00871981"/>
    <w:rsid w:val="00871AE1"/>
    <w:rsid w:val="008723F6"/>
    <w:rsid w:val="00872831"/>
    <w:rsid w:val="008728FF"/>
    <w:rsid w:val="00872AAC"/>
    <w:rsid w:val="00872B5C"/>
    <w:rsid w:val="00872B5F"/>
    <w:rsid w:val="00872E2F"/>
    <w:rsid w:val="008739E1"/>
    <w:rsid w:val="00873B49"/>
    <w:rsid w:val="00873C8C"/>
    <w:rsid w:val="00873DA9"/>
    <w:rsid w:val="008742CD"/>
    <w:rsid w:val="0087439C"/>
    <w:rsid w:val="00874423"/>
    <w:rsid w:val="00874633"/>
    <w:rsid w:val="008746A9"/>
    <w:rsid w:val="0087493D"/>
    <w:rsid w:val="00875161"/>
    <w:rsid w:val="00875286"/>
    <w:rsid w:val="008752B2"/>
    <w:rsid w:val="0087552B"/>
    <w:rsid w:val="008758C8"/>
    <w:rsid w:val="00875BC9"/>
    <w:rsid w:val="00875BD6"/>
    <w:rsid w:val="00875D45"/>
    <w:rsid w:val="00875F11"/>
    <w:rsid w:val="00875F6E"/>
    <w:rsid w:val="00875FD4"/>
    <w:rsid w:val="008761E1"/>
    <w:rsid w:val="008762A4"/>
    <w:rsid w:val="00876657"/>
    <w:rsid w:val="00876C03"/>
    <w:rsid w:val="00876C61"/>
    <w:rsid w:val="00877855"/>
    <w:rsid w:val="00880093"/>
    <w:rsid w:val="008808FE"/>
    <w:rsid w:val="00880BF1"/>
    <w:rsid w:val="008810F4"/>
    <w:rsid w:val="0088113F"/>
    <w:rsid w:val="00881B80"/>
    <w:rsid w:val="00881CD1"/>
    <w:rsid w:val="00881EFE"/>
    <w:rsid w:val="00881F3C"/>
    <w:rsid w:val="00881F74"/>
    <w:rsid w:val="0088286C"/>
    <w:rsid w:val="008828FC"/>
    <w:rsid w:val="0088301B"/>
    <w:rsid w:val="00883369"/>
    <w:rsid w:val="00883875"/>
    <w:rsid w:val="00883BAF"/>
    <w:rsid w:val="00884012"/>
    <w:rsid w:val="00884197"/>
    <w:rsid w:val="0088430B"/>
    <w:rsid w:val="0088466E"/>
    <w:rsid w:val="00884696"/>
    <w:rsid w:val="00884817"/>
    <w:rsid w:val="008849A6"/>
    <w:rsid w:val="00884A25"/>
    <w:rsid w:val="00885035"/>
    <w:rsid w:val="00886033"/>
    <w:rsid w:val="00886282"/>
    <w:rsid w:val="0088692B"/>
    <w:rsid w:val="008869B9"/>
    <w:rsid w:val="008869D4"/>
    <w:rsid w:val="00886E76"/>
    <w:rsid w:val="008871C7"/>
    <w:rsid w:val="008873BB"/>
    <w:rsid w:val="008875F6"/>
    <w:rsid w:val="008875F9"/>
    <w:rsid w:val="00887DDA"/>
    <w:rsid w:val="00887E6C"/>
    <w:rsid w:val="00887F2F"/>
    <w:rsid w:val="00887F9E"/>
    <w:rsid w:val="00890493"/>
    <w:rsid w:val="008906D5"/>
    <w:rsid w:val="00890764"/>
    <w:rsid w:val="008909A7"/>
    <w:rsid w:val="00890A0E"/>
    <w:rsid w:val="0089100F"/>
    <w:rsid w:val="00891207"/>
    <w:rsid w:val="00891213"/>
    <w:rsid w:val="00891595"/>
    <w:rsid w:val="00891864"/>
    <w:rsid w:val="008918F1"/>
    <w:rsid w:val="00892721"/>
    <w:rsid w:val="00892FB6"/>
    <w:rsid w:val="0089306C"/>
    <w:rsid w:val="00893155"/>
    <w:rsid w:val="0089318F"/>
    <w:rsid w:val="00893211"/>
    <w:rsid w:val="00893345"/>
    <w:rsid w:val="008934B4"/>
    <w:rsid w:val="008934D5"/>
    <w:rsid w:val="00893600"/>
    <w:rsid w:val="008937F6"/>
    <w:rsid w:val="00893C8E"/>
    <w:rsid w:val="00893DB8"/>
    <w:rsid w:val="00893E10"/>
    <w:rsid w:val="00893E83"/>
    <w:rsid w:val="00893F83"/>
    <w:rsid w:val="0089458C"/>
    <w:rsid w:val="00894722"/>
    <w:rsid w:val="00894D25"/>
    <w:rsid w:val="0089508D"/>
    <w:rsid w:val="008955F5"/>
    <w:rsid w:val="0089566A"/>
    <w:rsid w:val="008958A3"/>
    <w:rsid w:val="00895B12"/>
    <w:rsid w:val="00895D8B"/>
    <w:rsid w:val="00896156"/>
    <w:rsid w:val="008963E0"/>
    <w:rsid w:val="008965D1"/>
    <w:rsid w:val="00896982"/>
    <w:rsid w:val="00896C83"/>
    <w:rsid w:val="00896E30"/>
    <w:rsid w:val="0089704C"/>
    <w:rsid w:val="0089725D"/>
    <w:rsid w:val="008972ED"/>
    <w:rsid w:val="008978F8"/>
    <w:rsid w:val="00897D7E"/>
    <w:rsid w:val="00897E50"/>
    <w:rsid w:val="008A013A"/>
    <w:rsid w:val="008A04A4"/>
    <w:rsid w:val="008A064C"/>
    <w:rsid w:val="008A0788"/>
    <w:rsid w:val="008A0A79"/>
    <w:rsid w:val="008A0AC5"/>
    <w:rsid w:val="008A0C26"/>
    <w:rsid w:val="008A0CF3"/>
    <w:rsid w:val="008A0F21"/>
    <w:rsid w:val="008A0F90"/>
    <w:rsid w:val="008A118C"/>
    <w:rsid w:val="008A130B"/>
    <w:rsid w:val="008A1583"/>
    <w:rsid w:val="008A16F6"/>
    <w:rsid w:val="008A1AA4"/>
    <w:rsid w:val="008A2886"/>
    <w:rsid w:val="008A29D3"/>
    <w:rsid w:val="008A3206"/>
    <w:rsid w:val="008A3630"/>
    <w:rsid w:val="008A3639"/>
    <w:rsid w:val="008A4306"/>
    <w:rsid w:val="008A430D"/>
    <w:rsid w:val="008A430F"/>
    <w:rsid w:val="008A4711"/>
    <w:rsid w:val="008A4793"/>
    <w:rsid w:val="008A490F"/>
    <w:rsid w:val="008A4A25"/>
    <w:rsid w:val="008A4C6A"/>
    <w:rsid w:val="008A4FB0"/>
    <w:rsid w:val="008A5265"/>
    <w:rsid w:val="008A52C9"/>
    <w:rsid w:val="008A532F"/>
    <w:rsid w:val="008A549A"/>
    <w:rsid w:val="008A583F"/>
    <w:rsid w:val="008A58A9"/>
    <w:rsid w:val="008A59C0"/>
    <w:rsid w:val="008A5E64"/>
    <w:rsid w:val="008A5F0C"/>
    <w:rsid w:val="008A60D4"/>
    <w:rsid w:val="008A650A"/>
    <w:rsid w:val="008A6524"/>
    <w:rsid w:val="008A655F"/>
    <w:rsid w:val="008A6745"/>
    <w:rsid w:val="008A6876"/>
    <w:rsid w:val="008A6BD3"/>
    <w:rsid w:val="008A6FDC"/>
    <w:rsid w:val="008A72CC"/>
    <w:rsid w:val="008A7593"/>
    <w:rsid w:val="008A782D"/>
    <w:rsid w:val="008A79DA"/>
    <w:rsid w:val="008A7BAE"/>
    <w:rsid w:val="008B0205"/>
    <w:rsid w:val="008B05EC"/>
    <w:rsid w:val="008B0A7B"/>
    <w:rsid w:val="008B0D76"/>
    <w:rsid w:val="008B0F91"/>
    <w:rsid w:val="008B10E0"/>
    <w:rsid w:val="008B1577"/>
    <w:rsid w:val="008B1772"/>
    <w:rsid w:val="008B1B49"/>
    <w:rsid w:val="008B1D04"/>
    <w:rsid w:val="008B20DC"/>
    <w:rsid w:val="008B2681"/>
    <w:rsid w:val="008B2A76"/>
    <w:rsid w:val="008B2AC8"/>
    <w:rsid w:val="008B2B92"/>
    <w:rsid w:val="008B2DEC"/>
    <w:rsid w:val="008B3045"/>
    <w:rsid w:val="008B30D3"/>
    <w:rsid w:val="008B30EF"/>
    <w:rsid w:val="008B3999"/>
    <w:rsid w:val="008B3BD0"/>
    <w:rsid w:val="008B3C50"/>
    <w:rsid w:val="008B3FCE"/>
    <w:rsid w:val="008B3FD0"/>
    <w:rsid w:val="008B4404"/>
    <w:rsid w:val="008B476C"/>
    <w:rsid w:val="008B4DDF"/>
    <w:rsid w:val="008B4F92"/>
    <w:rsid w:val="008B4FD5"/>
    <w:rsid w:val="008B50DB"/>
    <w:rsid w:val="008B5214"/>
    <w:rsid w:val="008B5540"/>
    <w:rsid w:val="008B56F3"/>
    <w:rsid w:val="008B58B2"/>
    <w:rsid w:val="008B59FB"/>
    <w:rsid w:val="008B5B83"/>
    <w:rsid w:val="008B60AB"/>
    <w:rsid w:val="008B6284"/>
    <w:rsid w:val="008B683C"/>
    <w:rsid w:val="008B6A5A"/>
    <w:rsid w:val="008B6AFA"/>
    <w:rsid w:val="008B6F8A"/>
    <w:rsid w:val="008B7267"/>
    <w:rsid w:val="008B7361"/>
    <w:rsid w:val="008B7425"/>
    <w:rsid w:val="008B7723"/>
    <w:rsid w:val="008B790A"/>
    <w:rsid w:val="008B7AED"/>
    <w:rsid w:val="008B7B50"/>
    <w:rsid w:val="008B7BB8"/>
    <w:rsid w:val="008C029F"/>
    <w:rsid w:val="008C04DD"/>
    <w:rsid w:val="008C0C35"/>
    <w:rsid w:val="008C0D67"/>
    <w:rsid w:val="008C0DE5"/>
    <w:rsid w:val="008C0EE1"/>
    <w:rsid w:val="008C1524"/>
    <w:rsid w:val="008C15D6"/>
    <w:rsid w:val="008C16EC"/>
    <w:rsid w:val="008C18B8"/>
    <w:rsid w:val="008C19C7"/>
    <w:rsid w:val="008C1B6F"/>
    <w:rsid w:val="008C1E72"/>
    <w:rsid w:val="008C1F0B"/>
    <w:rsid w:val="008C22FC"/>
    <w:rsid w:val="008C2352"/>
    <w:rsid w:val="008C29E0"/>
    <w:rsid w:val="008C2DFA"/>
    <w:rsid w:val="008C2F26"/>
    <w:rsid w:val="008C32F0"/>
    <w:rsid w:val="008C3873"/>
    <w:rsid w:val="008C3C4D"/>
    <w:rsid w:val="008C3E20"/>
    <w:rsid w:val="008C40EE"/>
    <w:rsid w:val="008C4463"/>
    <w:rsid w:val="008C45FD"/>
    <w:rsid w:val="008C493B"/>
    <w:rsid w:val="008C4F37"/>
    <w:rsid w:val="008C5B1D"/>
    <w:rsid w:val="008C5D65"/>
    <w:rsid w:val="008C626A"/>
    <w:rsid w:val="008C638A"/>
    <w:rsid w:val="008C6DF2"/>
    <w:rsid w:val="008C6DFA"/>
    <w:rsid w:val="008C6EAB"/>
    <w:rsid w:val="008C6F70"/>
    <w:rsid w:val="008C7037"/>
    <w:rsid w:val="008C71BB"/>
    <w:rsid w:val="008C727F"/>
    <w:rsid w:val="008C7358"/>
    <w:rsid w:val="008C73A2"/>
    <w:rsid w:val="008C749C"/>
    <w:rsid w:val="008C76F6"/>
    <w:rsid w:val="008C7B00"/>
    <w:rsid w:val="008C7F90"/>
    <w:rsid w:val="008D0160"/>
    <w:rsid w:val="008D0663"/>
    <w:rsid w:val="008D07D6"/>
    <w:rsid w:val="008D0826"/>
    <w:rsid w:val="008D0CD1"/>
    <w:rsid w:val="008D0E07"/>
    <w:rsid w:val="008D0EBF"/>
    <w:rsid w:val="008D12D3"/>
    <w:rsid w:val="008D1404"/>
    <w:rsid w:val="008D16D4"/>
    <w:rsid w:val="008D1ADE"/>
    <w:rsid w:val="008D2048"/>
    <w:rsid w:val="008D242A"/>
    <w:rsid w:val="008D2473"/>
    <w:rsid w:val="008D2916"/>
    <w:rsid w:val="008D3023"/>
    <w:rsid w:val="008D314E"/>
    <w:rsid w:val="008D320B"/>
    <w:rsid w:val="008D3434"/>
    <w:rsid w:val="008D3836"/>
    <w:rsid w:val="008D3A8B"/>
    <w:rsid w:val="008D3D4D"/>
    <w:rsid w:val="008D3DF8"/>
    <w:rsid w:val="008D3F1C"/>
    <w:rsid w:val="008D4459"/>
    <w:rsid w:val="008D45C0"/>
    <w:rsid w:val="008D477B"/>
    <w:rsid w:val="008D487A"/>
    <w:rsid w:val="008D4C60"/>
    <w:rsid w:val="008D4DAF"/>
    <w:rsid w:val="008D4E9F"/>
    <w:rsid w:val="008D4F13"/>
    <w:rsid w:val="008D5192"/>
    <w:rsid w:val="008D55D3"/>
    <w:rsid w:val="008D5721"/>
    <w:rsid w:val="008D581D"/>
    <w:rsid w:val="008D59C9"/>
    <w:rsid w:val="008D5F04"/>
    <w:rsid w:val="008D6058"/>
    <w:rsid w:val="008D61BE"/>
    <w:rsid w:val="008D6779"/>
    <w:rsid w:val="008D6780"/>
    <w:rsid w:val="008D6A12"/>
    <w:rsid w:val="008D6A7A"/>
    <w:rsid w:val="008D6F72"/>
    <w:rsid w:val="008D6FDB"/>
    <w:rsid w:val="008D6FFC"/>
    <w:rsid w:val="008D70DC"/>
    <w:rsid w:val="008D7246"/>
    <w:rsid w:val="008D76CB"/>
    <w:rsid w:val="008D76F4"/>
    <w:rsid w:val="008D7977"/>
    <w:rsid w:val="008D79CE"/>
    <w:rsid w:val="008E010F"/>
    <w:rsid w:val="008E0500"/>
    <w:rsid w:val="008E05EC"/>
    <w:rsid w:val="008E0993"/>
    <w:rsid w:val="008E0BA4"/>
    <w:rsid w:val="008E140E"/>
    <w:rsid w:val="008E1472"/>
    <w:rsid w:val="008E165B"/>
    <w:rsid w:val="008E1CC0"/>
    <w:rsid w:val="008E1FA5"/>
    <w:rsid w:val="008E20D3"/>
    <w:rsid w:val="008E20EC"/>
    <w:rsid w:val="008E2102"/>
    <w:rsid w:val="008E2609"/>
    <w:rsid w:val="008E2803"/>
    <w:rsid w:val="008E2C87"/>
    <w:rsid w:val="008E2DB7"/>
    <w:rsid w:val="008E2F12"/>
    <w:rsid w:val="008E3ACD"/>
    <w:rsid w:val="008E3B8B"/>
    <w:rsid w:val="008E3CC9"/>
    <w:rsid w:val="008E3CFA"/>
    <w:rsid w:val="008E3E11"/>
    <w:rsid w:val="008E43E7"/>
    <w:rsid w:val="008E4515"/>
    <w:rsid w:val="008E4790"/>
    <w:rsid w:val="008E48A5"/>
    <w:rsid w:val="008E48D0"/>
    <w:rsid w:val="008E4931"/>
    <w:rsid w:val="008E50E7"/>
    <w:rsid w:val="008E5451"/>
    <w:rsid w:val="008E5A74"/>
    <w:rsid w:val="008E5BFB"/>
    <w:rsid w:val="008E5CBE"/>
    <w:rsid w:val="008E5F20"/>
    <w:rsid w:val="008E601D"/>
    <w:rsid w:val="008E6083"/>
    <w:rsid w:val="008E6264"/>
    <w:rsid w:val="008E6572"/>
    <w:rsid w:val="008E6766"/>
    <w:rsid w:val="008E6823"/>
    <w:rsid w:val="008E693C"/>
    <w:rsid w:val="008E6D3B"/>
    <w:rsid w:val="008E70AC"/>
    <w:rsid w:val="008E70CB"/>
    <w:rsid w:val="008E71A3"/>
    <w:rsid w:val="008E783D"/>
    <w:rsid w:val="008E7921"/>
    <w:rsid w:val="008E79E7"/>
    <w:rsid w:val="008E7B94"/>
    <w:rsid w:val="008E7C7B"/>
    <w:rsid w:val="008E7CAC"/>
    <w:rsid w:val="008E7CC9"/>
    <w:rsid w:val="008E7F3F"/>
    <w:rsid w:val="008F00EE"/>
    <w:rsid w:val="008F0190"/>
    <w:rsid w:val="008F0336"/>
    <w:rsid w:val="008F0603"/>
    <w:rsid w:val="008F0842"/>
    <w:rsid w:val="008F0D73"/>
    <w:rsid w:val="008F0DE8"/>
    <w:rsid w:val="008F14A9"/>
    <w:rsid w:val="008F1583"/>
    <w:rsid w:val="008F195D"/>
    <w:rsid w:val="008F1FCC"/>
    <w:rsid w:val="008F23A6"/>
    <w:rsid w:val="008F2D31"/>
    <w:rsid w:val="008F2E90"/>
    <w:rsid w:val="008F2FE6"/>
    <w:rsid w:val="008F31E2"/>
    <w:rsid w:val="008F3678"/>
    <w:rsid w:val="008F395F"/>
    <w:rsid w:val="008F3C4A"/>
    <w:rsid w:val="008F3F58"/>
    <w:rsid w:val="008F4374"/>
    <w:rsid w:val="008F456D"/>
    <w:rsid w:val="008F467A"/>
    <w:rsid w:val="008F47E1"/>
    <w:rsid w:val="008F4B16"/>
    <w:rsid w:val="008F4E85"/>
    <w:rsid w:val="008F5C16"/>
    <w:rsid w:val="008F5E51"/>
    <w:rsid w:val="008F5EC1"/>
    <w:rsid w:val="008F63CC"/>
    <w:rsid w:val="008F6444"/>
    <w:rsid w:val="008F69B7"/>
    <w:rsid w:val="008F6C31"/>
    <w:rsid w:val="008F6F2A"/>
    <w:rsid w:val="008F7E05"/>
    <w:rsid w:val="008F7F7B"/>
    <w:rsid w:val="009001CE"/>
    <w:rsid w:val="00900289"/>
    <w:rsid w:val="0090035E"/>
    <w:rsid w:val="00900A10"/>
    <w:rsid w:val="00900A3D"/>
    <w:rsid w:val="00900AD1"/>
    <w:rsid w:val="00900E2B"/>
    <w:rsid w:val="00900E56"/>
    <w:rsid w:val="00900ED2"/>
    <w:rsid w:val="00900F36"/>
    <w:rsid w:val="009012D3"/>
    <w:rsid w:val="009016C9"/>
    <w:rsid w:val="00902112"/>
    <w:rsid w:val="00902980"/>
    <w:rsid w:val="00902B75"/>
    <w:rsid w:val="00902E99"/>
    <w:rsid w:val="00903042"/>
    <w:rsid w:val="00903BB2"/>
    <w:rsid w:val="00903DB8"/>
    <w:rsid w:val="00904008"/>
    <w:rsid w:val="0090411B"/>
    <w:rsid w:val="009041B2"/>
    <w:rsid w:val="00904744"/>
    <w:rsid w:val="009047C0"/>
    <w:rsid w:val="00904951"/>
    <w:rsid w:val="009049B2"/>
    <w:rsid w:val="00904B80"/>
    <w:rsid w:val="00904C59"/>
    <w:rsid w:val="00904C8B"/>
    <w:rsid w:val="00904E7A"/>
    <w:rsid w:val="00904F74"/>
    <w:rsid w:val="00905132"/>
    <w:rsid w:val="009051FD"/>
    <w:rsid w:val="0090525C"/>
    <w:rsid w:val="009056ED"/>
    <w:rsid w:val="00905A8A"/>
    <w:rsid w:val="00905B7B"/>
    <w:rsid w:val="00905E19"/>
    <w:rsid w:val="00905F4F"/>
    <w:rsid w:val="00905FDE"/>
    <w:rsid w:val="009060D1"/>
    <w:rsid w:val="0090616B"/>
    <w:rsid w:val="00906195"/>
    <w:rsid w:val="009062DE"/>
    <w:rsid w:val="00906362"/>
    <w:rsid w:val="009066CE"/>
    <w:rsid w:val="00906A3E"/>
    <w:rsid w:val="00906DFF"/>
    <w:rsid w:val="00907338"/>
    <w:rsid w:val="0090799C"/>
    <w:rsid w:val="00907D5B"/>
    <w:rsid w:val="00907ED8"/>
    <w:rsid w:val="00907FC9"/>
    <w:rsid w:val="00910619"/>
    <w:rsid w:val="00910A93"/>
    <w:rsid w:val="0091105E"/>
    <w:rsid w:val="0091107B"/>
    <w:rsid w:val="009111DB"/>
    <w:rsid w:val="00911380"/>
    <w:rsid w:val="00911435"/>
    <w:rsid w:val="00911686"/>
    <w:rsid w:val="00911942"/>
    <w:rsid w:val="00911C85"/>
    <w:rsid w:val="00911CC7"/>
    <w:rsid w:val="009128BB"/>
    <w:rsid w:val="00912FD5"/>
    <w:rsid w:val="00913025"/>
    <w:rsid w:val="00913224"/>
    <w:rsid w:val="009136B4"/>
    <w:rsid w:val="0091387F"/>
    <w:rsid w:val="009138B1"/>
    <w:rsid w:val="00913B32"/>
    <w:rsid w:val="0091412E"/>
    <w:rsid w:val="0091432D"/>
    <w:rsid w:val="009144AC"/>
    <w:rsid w:val="00914BC4"/>
    <w:rsid w:val="00914CAF"/>
    <w:rsid w:val="0091500B"/>
    <w:rsid w:val="00915077"/>
    <w:rsid w:val="00915147"/>
    <w:rsid w:val="00915622"/>
    <w:rsid w:val="00916861"/>
    <w:rsid w:val="00916882"/>
    <w:rsid w:val="009168BA"/>
    <w:rsid w:val="00916B26"/>
    <w:rsid w:val="00916EFE"/>
    <w:rsid w:val="009173E7"/>
    <w:rsid w:val="00917912"/>
    <w:rsid w:val="009179B2"/>
    <w:rsid w:val="00917B0D"/>
    <w:rsid w:val="00917DA5"/>
    <w:rsid w:val="0092004E"/>
    <w:rsid w:val="00920130"/>
    <w:rsid w:val="0092097F"/>
    <w:rsid w:val="00920C05"/>
    <w:rsid w:val="00921279"/>
    <w:rsid w:val="00921291"/>
    <w:rsid w:val="0092146C"/>
    <w:rsid w:val="00921473"/>
    <w:rsid w:val="00921C0B"/>
    <w:rsid w:val="00921D96"/>
    <w:rsid w:val="00921FD7"/>
    <w:rsid w:val="009221AC"/>
    <w:rsid w:val="009222C6"/>
    <w:rsid w:val="0092240F"/>
    <w:rsid w:val="00922744"/>
    <w:rsid w:val="009229FA"/>
    <w:rsid w:val="00922EDE"/>
    <w:rsid w:val="0092303D"/>
    <w:rsid w:val="00923163"/>
    <w:rsid w:val="00923394"/>
    <w:rsid w:val="009239C1"/>
    <w:rsid w:val="00923AA1"/>
    <w:rsid w:val="00923E3E"/>
    <w:rsid w:val="00923E6A"/>
    <w:rsid w:val="009244C4"/>
    <w:rsid w:val="00924601"/>
    <w:rsid w:val="009249D9"/>
    <w:rsid w:val="00924F73"/>
    <w:rsid w:val="00925386"/>
    <w:rsid w:val="009257CD"/>
    <w:rsid w:val="00925A15"/>
    <w:rsid w:val="00925FEA"/>
    <w:rsid w:val="009262B5"/>
    <w:rsid w:val="0092631A"/>
    <w:rsid w:val="0092661B"/>
    <w:rsid w:val="009268E6"/>
    <w:rsid w:val="009269F0"/>
    <w:rsid w:val="00926C27"/>
    <w:rsid w:val="0092705F"/>
    <w:rsid w:val="0092729B"/>
    <w:rsid w:val="00927360"/>
    <w:rsid w:val="009273B8"/>
    <w:rsid w:val="00927985"/>
    <w:rsid w:val="00927CA7"/>
    <w:rsid w:val="00927D98"/>
    <w:rsid w:val="0093090B"/>
    <w:rsid w:val="0093094F"/>
    <w:rsid w:val="00930D10"/>
    <w:rsid w:val="00930DD2"/>
    <w:rsid w:val="00930DDC"/>
    <w:rsid w:val="009311B6"/>
    <w:rsid w:val="009314C1"/>
    <w:rsid w:val="00931807"/>
    <w:rsid w:val="00932233"/>
    <w:rsid w:val="009322D6"/>
    <w:rsid w:val="00932587"/>
    <w:rsid w:val="00932C78"/>
    <w:rsid w:val="00932F10"/>
    <w:rsid w:val="0093322A"/>
    <w:rsid w:val="009339B7"/>
    <w:rsid w:val="009339CF"/>
    <w:rsid w:val="00933C20"/>
    <w:rsid w:val="00933DED"/>
    <w:rsid w:val="00933E7D"/>
    <w:rsid w:val="00934AB6"/>
    <w:rsid w:val="00934D3E"/>
    <w:rsid w:val="00934FD5"/>
    <w:rsid w:val="009353DF"/>
    <w:rsid w:val="00935715"/>
    <w:rsid w:val="00935AFA"/>
    <w:rsid w:val="00935C25"/>
    <w:rsid w:val="00935E25"/>
    <w:rsid w:val="009360F2"/>
    <w:rsid w:val="00936314"/>
    <w:rsid w:val="00936CEE"/>
    <w:rsid w:val="009370D2"/>
    <w:rsid w:val="00937441"/>
    <w:rsid w:val="009379D6"/>
    <w:rsid w:val="00937CEF"/>
    <w:rsid w:val="00940313"/>
    <w:rsid w:val="0094040D"/>
    <w:rsid w:val="00940436"/>
    <w:rsid w:val="0094062A"/>
    <w:rsid w:val="00940D45"/>
    <w:rsid w:val="00940EDD"/>
    <w:rsid w:val="00940FDB"/>
    <w:rsid w:val="009413A0"/>
    <w:rsid w:val="00941479"/>
    <w:rsid w:val="009419B3"/>
    <w:rsid w:val="00941AE4"/>
    <w:rsid w:val="00941C3A"/>
    <w:rsid w:val="00941F6B"/>
    <w:rsid w:val="00942130"/>
    <w:rsid w:val="009425EE"/>
    <w:rsid w:val="00942877"/>
    <w:rsid w:val="00942DF0"/>
    <w:rsid w:val="009430F0"/>
    <w:rsid w:val="0094350C"/>
    <w:rsid w:val="0094353C"/>
    <w:rsid w:val="009435C9"/>
    <w:rsid w:val="009435CD"/>
    <w:rsid w:val="009438F5"/>
    <w:rsid w:val="00943FFA"/>
    <w:rsid w:val="00944459"/>
    <w:rsid w:val="00944899"/>
    <w:rsid w:val="00944D94"/>
    <w:rsid w:val="009452E3"/>
    <w:rsid w:val="00945442"/>
    <w:rsid w:val="00945C13"/>
    <w:rsid w:val="00945C88"/>
    <w:rsid w:val="00945CD4"/>
    <w:rsid w:val="00945E98"/>
    <w:rsid w:val="00946370"/>
    <w:rsid w:val="009463C8"/>
    <w:rsid w:val="009464F6"/>
    <w:rsid w:val="009465FF"/>
    <w:rsid w:val="00946AD5"/>
    <w:rsid w:val="00946B72"/>
    <w:rsid w:val="00946C44"/>
    <w:rsid w:val="00946C99"/>
    <w:rsid w:val="00946D4B"/>
    <w:rsid w:val="00947041"/>
    <w:rsid w:val="009470A6"/>
    <w:rsid w:val="009470CB"/>
    <w:rsid w:val="009471EE"/>
    <w:rsid w:val="0094763B"/>
    <w:rsid w:val="0094781B"/>
    <w:rsid w:val="00947B3E"/>
    <w:rsid w:val="00947DD0"/>
    <w:rsid w:val="00947F16"/>
    <w:rsid w:val="00947F7C"/>
    <w:rsid w:val="00950037"/>
    <w:rsid w:val="009507FE"/>
    <w:rsid w:val="00950A1F"/>
    <w:rsid w:val="00950AAF"/>
    <w:rsid w:val="00950CCD"/>
    <w:rsid w:val="0095111B"/>
    <w:rsid w:val="00951228"/>
    <w:rsid w:val="009512BF"/>
    <w:rsid w:val="00951B45"/>
    <w:rsid w:val="00951B8C"/>
    <w:rsid w:val="00951C05"/>
    <w:rsid w:val="00951C1F"/>
    <w:rsid w:val="00951CC9"/>
    <w:rsid w:val="00951D79"/>
    <w:rsid w:val="00952459"/>
    <w:rsid w:val="00952BBE"/>
    <w:rsid w:val="00952CD8"/>
    <w:rsid w:val="00952CE6"/>
    <w:rsid w:val="00952F35"/>
    <w:rsid w:val="00953040"/>
    <w:rsid w:val="00953D21"/>
    <w:rsid w:val="00953E49"/>
    <w:rsid w:val="00953FDA"/>
    <w:rsid w:val="0095408F"/>
    <w:rsid w:val="00954510"/>
    <w:rsid w:val="00954978"/>
    <w:rsid w:val="00955141"/>
    <w:rsid w:val="0095531C"/>
    <w:rsid w:val="009553E8"/>
    <w:rsid w:val="00955B98"/>
    <w:rsid w:val="009565AE"/>
    <w:rsid w:val="009569EB"/>
    <w:rsid w:val="00956B1F"/>
    <w:rsid w:val="00956FCF"/>
    <w:rsid w:val="009572CA"/>
    <w:rsid w:val="00957B04"/>
    <w:rsid w:val="00957FF5"/>
    <w:rsid w:val="00960206"/>
    <w:rsid w:val="009602BE"/>
    <w:rsid w:val="00960312"/>
    <w:rsid w:val="009605CB"/>
    <w:rsid w:val="0096062F"/>
    <w:rsid w:val="00960C1C"/>
    <w:rsid w:val="00960EDC"/>
    <w:rsid w:val="00960FCC"/>
    <w:rsid w:val="009610A3"/>
    <w:rsid w:val="00961975"/>
    <w:rsid w:val="00961DA1"/>
    <w:rsid w:val="009620A0"/>
    <w:rsid w:val="009621DF"/>
    <w:rsid w:val="0096223F"/>
    <w:rsid w:val="009627E9"/>
    <w:rsid w:val="00962A5F"/>
    <w:rsid w:val="00962FDA"/>
    <w:rsid w:val="00963047"/>
    <w:rsid w:val="00963108"/>
    <w:rsid w:val="00963879"/>
    <w:rsid w:val="00963C13"/>
    <w:rsid w:val="00963EA0"/>
    <w:rsid w:val="009646CD"/>
    <w:rsid w:val="00964C50"/>
    <w:rsid w:val="00964C52"/>
    <w:rsid w:val="00964D60"/>
    <w:rsid w:val="00964E4A"/>
    <w:rsid w:val="00964EEB"/>
    <w:rsid w:val="00965312"/>
    <w:rsid w:val="00965628"/>
    <w:rsid w:val="00965DD5"/>
    <w:rsid w:val="009666F3"/>
    <w:rsid w:val="00966A63"/>
    <w:rsid w:val="00966D86"/>
    <w:rsid w:val="00966FB3"/>
    <w:rsid w:val="00966FB9"/>
    <w:rsid w:val="00967069"/>
    <w:rsid w:val="0096706F"/>
    <w:rsid w:val="00967394"/>
    <w:rsid w:val="00967D9D"/>
    <w:rsid w:val="009701C5"/>
    <w:rsid w:val="0097037E"/>
    <w:rsid w:val="0097039F"/>
    <w:rsid w:val="00970776"/>
    <w:rsid w:val="0097096E"/>
    <w:rsid w:val="00970A4D"/>
    <w:rsid w:val="00970ACD"/>
    <w:rsid w:val="00970BCF"/>
    <w:rsid w:val="00970CC9"/>
    <w:rsid w:val="00971514"/>
    <w:rsid w:val="00971AD3"/>
    <w:rsid w:val="00971B16"/>
    <w:rsid w:val="00971F22"/>
    <w:rsid w:val="00971FEE"/>
    <w:rsid w:val="009724BC"/>
    <w:rsid w:val="0097254E"/>
    <w:rsid w:val="00972964"/>
    <w:rsid w:val="00972C2B"/>
    <w:rsid w:val="00973490"/>
    <w:rsid w:val="009734AF"/>
    <w:rsid w:val="009735F8"/>
    <w:rsid w:val="009736F5"/>
    <w:rsid w:val="009739C7"/>
    <w:rsid w:val="00973E6B"/>
    <w:rsid w:val="009740CA"/>
    <w:rsid w:val="00974159"/>
    <w:rsid w:val="0097443E"/>
    <w:rsid w:val="00974634"/>
    <w:rsid w:val="00974A06"/>
    <w:rsid w:val="00974B81"/>
    <w:rsid w:val="0097541D"/>
    <w:rsid w:val="00976054"/>
    <w:rsid w:val="009760AE"/>
    <w:rsid w:val="009761EB"/>
    <w:rsid w:val="009765DD"/>
    <w:rsid w:val="0097660C"/>
    <w:rsid w:val="00976955"/>
    <w:rsid w:val="00976BE7"/>
    <w:rsid w:val="00976C85"/>
    <w:rsid w:val="00977199"/>
    <w:rsid w:val="0097731C"/>
    <w:rsid w:val="009775F8"/>
    <w:rsid w:val="00977AB2"/>
    <w:rsid w:val="00977C4C"/>
    <w:rsid w:val="00977D78"/>
    <w:rsid w:val="00977EF4"/>
    <w:rsid w:val="0098016F"/>
    <w:rsid w:val="00980256"/>
    <w:rsid w:val="009807C0"/>
    <w:rsid w:val="00980928"/>
    <w:rsid w:val="00980AA0"/>
    <w:rsid w:val="00980B0D"/>
    <w:rsid w:val="00980B3E"/>
    <w:rsid w:val="00980D47"/>
    <w:rsid w:val="009810E4"/>
    <w:rsid w:val="0098126E"/>
    <w:rsid w:val="009813E4"/>
    <w:rsid w:val="0098151A"/>
    <w:rsid w:val="009818F1"/>
    <w:rsid w:val="00981975"/>
    <w:rsid w:val="00981C2F"/>
    <w:rsid w:val="00981FD3"/>
    <w:rsid w:val="00982054"/>
    <w:rsid w:val="00982060"/>
    <w:rsid w:val="00982312"/>
    <w:rsid w:val="00982439"/>
    <w:rsid w:val="00982508"/>
    <w:rsid w:val="00982627"/>
    <w:rsid w:val="009826A3"/>
    <w:rsid w:val="009826E6"/>
    <w:rsid w:val="00982A57"/>
    <w:rsid w:val="00982B24"/>
    <w:rsid w:val="00982B83"/>
    <w:rsid w:val="00982F98"/>
    <w:rsid w:val="00983415"/>
    <w:rsid w:val="00983811"/>
    <w:rsid w:val="00983B42"/>
    <w:rsid w:val="00983CDB"/>
    <w:rsid w:val="00983D6E"/>
    <w:rsid w:val="00984304"/>
    <w:rsid w:val="00984439"/>
    <w:rsid w:val="009844F4"/>
    <w:rsid w:val="009845EF"/>
    <w:rsid w:val="009853BD"/>
    <w:rsid w:val="00985644"/>
    <w:rsid w:val="009859C6"/>
    <w:rsid w:val="00985A0D"/>
    <w:rsid w:val="00985D27"/>
    <w:rsid w:val="0098696A"/>
    <w:rsid w:val="0098736B"/>
    <w:rsid w:val="009873A3"/>
    <w:rsid w:val="00987E0E"/>
    <w:rsid w:val="0099013A"/>
    <w:rsid w:val="00990272"/>
    <w:rsid w:val="00990A29"/>
    <w:rsid w:val="00990B78"/>
    <w:rsid w:val="00991104"/>
    <w:rsid w:val="009919D1"/>
    <w:rsid w:val="00991A5D"/>
    <w:rsid w:val="00992209"/>
    <w:rsid w:val="0099237A"/>
    <w:rsid w:val="0099258D"/>
    <w:rsid w:val="00992983"/>
    <w:rsid w:val="009929B8"/>
    <w:rsid w:val="00992A49"/>
    <w:rsid w:val="00992CF9"/>
    <w:rsid w:val="00992EB8"/>
    <w:rsid w:val="00993013"/>
    <w:rsid w:val="00993131"/>
    <w:rsid w:val="009931DF"/>
    <w:rsid w:val="0099343E"/>
    <w:rsid w:val="009934C0"/>
    <w:rsid w:val="00993867"/>
    <w:rsid w:val="009939BD"/>
    <w:rsid w:val="00993A3B"/>
    <w:rsid w:val="00993C52"/>
    <w:rsid w:val="00993CC5"/>
    <w:rsid w:val="00993D7F"/>
    <w:rsid w:val="00993E06"/>
    <w:rsid w:val="00993EA1"/>
    <w:rsid w:val="00994045"/>
    <w:rsid w:val="009940BA"/>
    <w:rsid w:val="009945F3"/>
    <w:rsid w:val="009946A9"/>
    <w:rsid w:val="00994773"/>
    <w:rsid w:val="00994E55"/>
    <w:rsid w:val="00994F24"/>
    <w:rsid w:val="00995212"/>
    <w:rsid w:val="0099534F"/>
    <w:rsid w:val="00995965"/>
    <w:rsid w:val="0099629E"/>
    <w:rsid w:val="0099648C"/>
    <w:rsid w:val="0099669B"/>
    <w:rsid w:val="00996745"/>
    <w:rsid w:val="00996795"/>
    <w:rsid w:val="00996A5F"/>
    <w:rsid w:val="00996A8A"/>
    <w:rsid w:val="00996B3F"/>
    <w:rsid w:val="00996F02"/>
    <w:rsid w:val="0099706C"/>
    <w:rsid w:val="00997797"/>
    <w:rsid w:val="009979D8"/>
    <w:rsid w:val="00997EB2"/>
    <w:rsid w:val="00997FFB"/>
    <w:rsid w:val="009A02DA"/>
    <w:rsid w:val="009A0554"/>
    <w:rsid w:val="009A0606"/>
    <w:rsid w:val="009A07A6"/>
    <w:rsid w:val="009A07D2"/>
    <w:rsid w:val="009A0948"/>
    <w:rsid w:val="009A0B9A"/>
    <w:rsid w:val="009A0F64"/>
    <w:rsid w:val="009A1009"/>
    <w:rsid w:val="009A126D"/>
    <w:rsid w:val="009A1280"/>
    <w:rsid w:val="009A137F"/>
    <w:rsid w:val="009A147B"/>
    <w:rsid w:val="009A14C8"/>
    <w:rsid w:val="009A1771"/>
    <w:rsid w:val="009A1886"/>
    <w:rsid w:val="009A1938"/>
    <w:rsid w:val="009A1FF8"/>
    <w:rsid w:val="009A20E5"/>
    <w:rsid w:val="009A21AD"/>
    <w:rsid w:val="009A222C"/>
    <w:rsid w:val="009A2357"/>
    <w:rsid w:val="009A28B1"/>
    <w:rsid w:val="009A30CF"/>
    <w:rsid w:val="009A360A"/>
    <w:rsid w:val="009A3A68"/>
    <w:rsid w:val="009A4A10"/>
    <w:rsid w:val="009A4BF2"/>
    <w:rsid w:val="009A4E1B"/>
    <w:rsid w:val="009A4E85"/>
    <w:rsid w:val="009A5122"/>
    <w:rsid w:val="009A5A8B"/>
    <w:rsid w:val="009A61F1"/>
    <w:rsid w:val="009A67F4"/>
    <w:rsid w:val="009A6985"/>
    <w:rsid w:val="009A6BB9"/>
    <w:rsid w:val="009A6F79"/>
    <w:rsid w:val="009A714A"/>
    <w:rsid w:val="009A723D"/>
    <w:rsid w:val="009A755F"/>
    <w:rsid w:val="009A7570"/>
    <w:rsid w:val="009A76F4"/>
    <w:rsid w:val="009A7764"/>
    <w:rsid w:val="009A7C64"/>
    <w:rsid w:val="009A7F50"/>
    <w:rsid w:val="009A7FFC"/>
    <w:rsid w:val="009B06B9"/>
    <w:rsid w:val="009B0765"/>
    <w:rsid w:val="009B0A6B"/>
    <w:rsid w:val="009B0B22"/>
    <w:rsid w:val="009B0EE3"/>
    <w:rsid w:val="009B0FE9"/>
    <w:rsid w:val="009B16E1"/>
    <w:rsid w:val="009B17C9"/>
    <w:rsid w:val="009B1991"/>
    <w:rsid w:val="009B22E8"/>
    <w:rsid w:val="009B2379"/>
    <w:rsid w:val="009B23B4"/>
    <w:rsid w:val="009B2791"/>
    <w:rsid w:val="009B2D2C"/>
    <w:rsid w:val="009B33CA"/>
    <w:rsid w:val="009B34CF"/>
    <w:rsid w:val="009B3539"/>
    <w:rsid w:val="009B35F5"/>
    <w:rsid w:val="009B38D0"/>
    <w:rsid w:val="009B3A3C"/>
    <w:rsid w:val="009B3A6B"/>
    <w:rsid w:val="009B3A79"/>
    <w:rsid w:val="009B3BAC"/>
    <w:rsid w:val="009B40CC"/>
    <w:rsid w:val="009B4235"/>
    <w:rsid w:val="009B4522"/>
    <w:rsid w:val="009B488F"/>
    <w:rsid w:val="009B4956"/>
    <w:rsid w:val="009B4AA8"/>
    <w:rsid w:val="009B4AC7"/>
    <w:rsid w:val="009B4B93"/>
    <w:rsid w:val="009B51E2"/>
    <w:rsid w:val="009B5853"/>
    <w:rsid w:val="009B598B"/>
    <w:rsid w:val="009B5D7C"/>
    <w:rsid w:val="009B7165"/>
    <w:rsid w:val="009B71E6"/>
    <w:rsid w:val="009B72B9"/>
    <w:rsid w:val="009B72C8"/>
    <w:rsid w:val="009B761E"/>
    <w:rsid w:val="009B79FE"/>
    <w:rsid w:val="009B7C92"/>
    <w:rsid w:val="009B7E2B"/>
    <w:rsid w:val="009C00CE"/>
    <w:rsid w:val="009C020E"/>
    <w:rsid w:val="009C0288"/>
    <w:rsid w:val="009C034A"/>
    <w:rsid w:val="009C03D6"/>
    <w:rsid w:val="009C05AD"/>
    <w:rsid w:val="009C05C9"/>
    <w:rsid w:val="009C070B"/>
    <w:rsid w:val="009C0B5C"/>
    <w:rsid w:val="009C1100"/>
    <w:rsid w:val="009C161B"/>
    <w:rsid w:val="009C1CFB"/>
    <w:rsid w:val="009C2124"/>
    <w:rsid w:val="009C223C"/>
    <w:rsid w:val="009C237E"/>
    <w:rsid w:val="009C253B"/>
    <w:rsid w:val="009C280C"/>
    <w:rsid w:val="009C2848"/>
    <w:rsid w:val="009C33E1"/>
    <w:rsid w:val="009C379F"/>
    <w:rsid w:val="009C3800"/>
    <w:rsid w:val="009C38A6"/>
    <w:rsid w:val="009C3CB6"/>
    <w:rsid w:val="009C3F3F"/>
    <w:rsid w:val="009C4108"/>
    <w:rsid w:val="009C4144"/>
    <w:rsid w:val="009C4317"/>
    <w:rsid w:val="009C431C"/>
    <w:rsid w:val="009C4411"/>
    <w:rsid w:val="009C47F9"/>
    <w:rsid w:val="009C493F"/>
    <w:rsid w:val="009C4A5B"/>
    <w:rsid w:val="009C4C5C"/>
    <w:rsid w:val="009C4DF8"/>
    <w:rsid w:val="009C4FC7"/>
    <w:rsid w:val="009C5059"/>
    <w:rsid w:val="009C539B"/>
    <w:rsid w:val="009C57C0"/>
    <w:rsid w:val="009C58D1"/>
    <w:rsid w:val="009C58D7"/>
    <w:rsid w:val="009C5D48"/>
    <w:rsid w:val="009C6533"/>
    <w:rsid w:val="009C666A"/>
    <w:rsid w:val="009C6884"/>
    <w:rsid w:val="009C6B26"/>
    <w:rsid w:val="009C6D04"/>
    <w:rsid w:val="009C70DE"/>
    <w:rsid w:val="009C7788"/>
    <w:rsid w:val="009C7811"/>
    <w:rsid w:val="009C7C5A"/>
    <w:rsid w:val="009C7CB5"/>
    <w:rsid w:val="009D0152"/>
    <w:rsid w:val="009D0290"/>
    <w:rsid w:val="009D0369"/>
    <w:rsid w:val="009D04B8"/>
    <w:rsid w:val="009D0528"/>
    <w:rsid w:val="009D05B7"/>
    <w:rsid w:val="009D084C"/>
    <w:rsid w:val="009D0B29"/>
    <w:rsid w:val="009D0C60"/>
    <w:rsid w:val="009D0CCA"/>
    <w:rsid w:val="009D0DFD"/>
    <w:rsid w:val="009D0FC1"/>
    <w:rsid w:val="009D10AB"/>
    <w:rsid w:val="009D126B"/>
    <w:rsid w:val="009D1304"/>
    <w:rsid w:val="009D1511"/>
    <w:rsid w:val="009D1846"/>
    <w:rsid w:val="009D2705"/>
    <w:rsid w:val="009D2868"/>
    <w:rsid w:val="009D2B2D"/>
    <w:rsid w:val="009D2B80"/>
    <w:rsid w:val="009D2D7E"/>
    <w:rsid w:val="009D31A8"/>
    <w:rsid w:val="009D32C3"/>
    <w:rsid w:val="009D38AF"/>
    <w:rsid w:val="009D414F"/>
    <w:rsid w:val="009D4775"/>
    <w:rsid w:val="009D477C"/>
    <w:rsid w:val="009D47FE"/>
    <w:rsid w:val="009D4C16"/>
    <w:rsid w:val="009D4ECC"/>
    <w:rsid w:val="009D51E7"/>
    <w:rsid w:val="009D56BC"/>
    <w:rsid w:val="009D5787"/>
    <w:rsid w:val="009D6027"/>
    <w:rsid w:val="009D6072"/>
    <w:rsid w:val="009D6190"/>
    <w:rsid w:val="009D6227"/>
    <w:rsid w:val="009D62BA"/>
    <w:rsid w:val="009D6A04"/>
    <w:rsid w:val="009D6DAB"/>
    <w:rsid w:val="009D764E"/>
    <w:rsid w:val="009D7B91"/>
    <w:rsid w:val="009E03F2"/>
    <w:rsid w:val="009E0466"/>
    <w:rsid w:val="009E05F1"/>
    <w:rsid w:val="009E06E9"/>
    <w:rsid w:val="009E0C0D"/>
    <w:rsid w:val="009E0C2D"/>
    <w:rsid w:val="009E0ED8"/>
    <w:rsid w:val="009E0F7F"/>
    <w:rsid w:val="009E121B"/>
    <w:rsid w:val="009E14D2"/>
    <w:rsid w:val="009E14E3"/>
    <w:rsid w:val="009E16A1"/>
    <w:rsid w:val="009E16E4"/>
    <w:rsid w:val="009E190E"/>
    <w:rsid w:val="009E1E73"/>
    <w:rsid w:val="009E1F85"/>
    <w:rsid w:val="009E1FA4"/>
    <w:rsid w:val="009E2501"/>
    <w:rsid w:val="009E2502"/>
    <w:rsid w:val="009E252B"/>
    <w:rsid w:val="009E2568"/>
    <w:rsid w:val="009E267A"/>
    <w:rsid w:val="009E276D"/>
    <w:rsid w:val="009E2AF7"/>
    <w:rsid w:val="009E311A"/>
    <w:rsid w:val="009E35EB"/>
    <w:rsid w:val="009E3844"/>
    <w:rsid w:val="009E38E8"/>
    <w:rsid w:val="009E3974"/>
    <w:rsid w:val="009E408A"/>
    <w:rsid w:val="009E43F3"/>
    <w:rsid w:val="009E4FEA"/>
    <w:rsid w:val="009E55BC"/>
    <w:rsid w:val="009E5706"/>
    <w:rsid w:val="009E5C3B"/>
    <w:rsid w:val="009E5D78"/>
    <w:rsid w:val="009E6047"/>
    <w:rsid w:val="009E6145"/>
    <w:rsid w:val="009E61A7"/>
    <w:rsid w:val="009E630F"/>
    <w:rsid w:val="009E6476"/>
    <w:rsid w:val="009E661C"/>
    <w:rsid w:val="009E6E24"/>
    <w:rsid w:val="009E6EB6"/>
    <w:rsid w:val="009E71AF"/>
    <w:rsid w:val="009E7391"/>
    <w:rsid w:val="009E7450"/>
    <w:rsid w:val="009E76C9"/>
    <w:rsid w:val="009E787E"/>
    <w:rsid w:val="009E7AFA"/>
    <w:rsid w:val="009F0001"/>
    <w:rsid w:val="009F0048"/>
    <w:rsid w:val="009F0065"/>
    <w:rsid w:val="009F0239"/>
    <w:rsid w:val="009F03FB"/>
    <w:rsid w:val="009F0517"/>
    <w:rsid w:val="009F05C0"/>
    <w:rsid w:val="009F09DC"/>
    <w:rsid w:val="009F0C43"/>
    <w:rsid w:val="009F0E35"/>
    <w:rsid w:val="009F114C"/>
    <w:rsid w:val="009F1669"/>
    <w:rsid w:val="009F1AAF"/>
    <w:rsid w:val="009F1E66"/>
    <w:rsid w:val="009F2496"/>
    <w:rsid w:val="009F24CD"/>
    <w:rsid w:val="009F24D8"/>
    <w:rsid w:val="009F254E"/>
    <w:rsid w:val="009F263A"/>
    <w:rsid w:val="009F2657"/>
    <w:rsid w:val="009F2681"/>
    <w:rsid w:val="009F2C31"/>
    <w:rsid w:val="009F2C41"/>
    <w:rsid w:val="009F2DF8"/>
    <w:rsid w:val="009F2E41"/>
    <w:rsid w:val="009F2E6D"/>
    <w:rsid w:val="009F3294"/>
    <w:rsid w:val="009F367A"/>
    <w:rsid w:val="009F36EF"/>
    <w:rsid w:val="009F37D1"/>
    <w:rsid w:val="009F37DF"/>
    <w:rsid w:val="009F3AE4"/>
    <w:rsid w:val="009F3E43"/>
    <w:rsid w:val="009F425A"/>
    <w:rsid w:val="009F5076"/>
    <w:rsid w:val="009F52F0"/>
    <w:rsid w:val="009F5398"/>
    <w:rsid w:val="009F5408"/>
    <w:rsid w:val="009F548C"/>
    <w:rsid w:val="009F54C4"/>
    <w:rsid w:val="009F5505"/>
    <w:rsid w:val="009F5506"/>
    <w:rsid w:val="009F55B7"/>
    <w:rsid w:val="009F5CA4"/>
    <w:rsid w:val="009F60AD"/>
    <w:rsid w:val="009F61A0"/>
    <w:rsid w:val="009F62B4"/>
    <w:rsid w:val="009F69B5"/>
    <w:rsid w:val="009F6A44"/>
    <w:rsid w:val="009F6F78"/>
    <w:rsid w:val="009F7005"/>
    <w:rsid w:val="009F730F"/>
    <w:rsid w:val="009F7367"/>
    <w:rsid w:val="009F75F0"/>
    <w:rsid w:val="009F768D"/>
    <w:rsid w:val="009F7C1F"/>
    <w:rsid w:val="00A000ED"/>
    <w:rsid w:val="00A000F1"/>
    <w:rsid w:val="00A00103"/>
    <w:rsid w:val="00A003D6"/>
    <w:rsid w:val="00A00623"/>
    <w:rsid w:val="00A007C1"/>
    <w:rsid w:val="00A00A5F"/>
    <w:rsid w:val="00A00B0D"/>
    <w:rsid w:val="00A00CFE"/>
    <w:rsid w:val="00A00FE9"/>
    <w:rsid w:val="00A011BA"/>
    <w:rsid w:val="00A01442"/>
    <w:rsid w:val="00A01794"/>
    <w:rsid w:val="00A01952"/>
    <w:rsid w:val="00A01B81"/>
    <w:rsid w:val="00A01CC9"/>
    <w:rsid w:val="00A01D9F"/>
    <w:rsid w:val="00A01ED1"/>
    <w:rsid w:val="00A021E9"/>
    <w:rsid w:val="00A02442"/>
    <w:rsid w:val="00A025EE"/>
    <w:rsid w:val="00A0265B"/>
    <w:rsid w:val="00A029E4"/>
    <w:rsid w:val="00A02B9C"/>
    <w:rsid w:val="00A02DAD"/>
    <w:rsid w:val="00A02F0C"/>
    <w:rsid w:val="00A02FD9"/>
    <w:rsid w:val="00A03242"/>
    <w:rsid w:val="00A032F6"/>
    <w:rsid w:val="00A03342"/>
    <w:rsid w:val="00A03564"/>
    <w:rsid w:val="00A036BF"/>
    <w:rsid w:val="00A03BB7"/>
    <w:rsid w:val="00A03C86"/>
    <w:rsid w:val="00A03F18"/>
    <w:rsid w:val="00A0415C"/>
    <w:rsid w:val="00A0466D"/>
    <w:rsid w:val="00A046DC"/>
    <w:rsid w:val="00A04D86"/>
    <w:rsid w:val="00A04E82"/>
    <w:rsid w:val="00A0537B"/>
    <w:rsid w:val="00A0541A"/>
    <w:rsid w:val="00A058B4"/>
    <w:rsid w:val="00A05903"/>
    <w:rsid w:val="00A05A2D"/>
    <w:rsid w:val="00A06081"/>
    <w:rsid w:val="00A06417"/>
    <w:rsid w:val="00A06DE5"/>
    <w:rsid w:val="00A06F8E"/>
    <w:rsid w:val="00A06FDE"/>
    <w:rsid w:val="00A06FE9"/>
    <w:rsid w:val="00A06FEB"/>
    <w:rsid w:val="00A0781B"/>
    <w:rsid w:val="00A100F3"/>
    <w:rsid w:val="00A101E3"/>
    <w:rsid w:val="00A1051D"/>
    <w:rsid w:val="00A1097F"/>
    <w:rsid w:val="00A10D2C"/>
    <w:rsid w:val="00A10EAC"/>
    <w:rsid w:val="00A10F67"/>
    <w:rsid w:val="00A1105B"/>
    <w:rsid w:val="00A110D5"/>
    <w:rsid w:val="00A110DA"/>
    <w:rsid w:val="00A118EA"/>
    <w:rsid w:val="00A1190D"/>
    <w:rsid w:val="00A11C1F"/>
    <w:rsid w:val="00A11DE9"/>
    <w:rsid w:val="00A12010"/>
    <w:rsid w:val="00A121C1"/>
    <w:rsid w:val="00A12692"/>
    <w:rsid w:val="00A12827"/>
    <w:rsid w:val="00A128E3"/>
    <w:rsid w:val="00A12970"/>
    <w:rsid w:val="00A129BB"/>
    <w:rsid w:val="00A12A66"/>
    <w:rsid w:val="00A12D5F"/>
    <w:rsid w:val="00A130CD"/>
    <w:rsid w:val="00A13281"/>
    <w:rsid w:val="00A1360E"/>
    <w:rsid w:val="00A13DE1"/>
    <w:rsid w:val="00A13EF6"/>
    <w:rsid w:val="00A14051"/>
    <w:rsid w:val="00A14165"/>
    <w:rsid w:val="00A14402"/>
    <w:rsid w:val="00A14456"/>
    <w:rsid w:val="00A14462"/>
    <w:rsid w:val="00A14740"/>
    <w:rsid w:val="00A14D6E"/>
    <w:rsid w:val="00A15177"/>
    <w:rsid w:val="00A151A6"/>
    <w:rsid w:val="00A1520A"/>
    <w:rsid w:val="00A1532F"/>
    <w:rsid w:val="00A1583D"/>
    <w:rsid w:val="00A15B3E"/>
    <w:rsid w:val="00A15BDC"/>
    <w:rsid w:val="00A15DD8"/>
    <w:rsid w:val="00A1650D"/>
    <w:rsid w:val="00A167B3"/>
    <w:rsid w:val="00A167E0"/>
    <w:rsid w:val="00A16899"/>
    <w:rsid w:val="00A16CE8"/>
    <w:rsid w:val="00A1702B"/>
    <w:rsid w:val="00A1732F"/>
    <w:rsid w:val="00A17416"/>
    <w:rsid w:val="00A175C7"/>
    <w:rsid w:val="00A20329"/>
    <w:rsid w:val="00A20421"/>
    <w:rsid w:val="00A2048C"/>
    <w:rsid w:val="00A2067E"/>
    <w:rsid w:val="00A20777"/>
    <w:rsid w:val="00A20876"/>
    <w:rsid w:val="00A20A84"/>
    <w:rsid w:val="00A20A9D"/>
    <w:rsid w:val="00A20BB3"/>
    <w:rsid w:val="00A20D0C"/>
    <w:rsid w:val="00A212FB"/>
    <w:rsid w:val="00A2172D"/>
    <w:rsid w:val="00A2181C"/>
    <w:rsid w:val="00A21AD0"/>
    <w:rsid w:val="00A21C75"/>
    <w:rsid w:val="00A21DCC"/>
    <w:rsid w:val="00A22C60"/>
    <w:rsid w:val="00A230C5"/>
    <w:rsid w:val="00A233F7"/>
    <w:rsid w:val="00A23471"/>
    <w:rsid w:val="00A23899"/>
    <w:rsid w:val="00A23BEE"/>
    <w:rsid w:val="00A23C4C"/>
    <w:rsid w:val="00A243AA"/>
    <w:rsid w:val="00A245BD"/>
    <w:rsid w:val="00A24B56"/>
    <w:rsid w:val="00A24DB3"/>
    <w:rsid w:val="00A24FA5"/>
    <w:rsid w:val="00A25133"/>
    <w:rsid w:val="00A251A5"/>
    <w:rsid w:val="00A251FB"/>
    <w:rsid w:val="00A256D6"/>
    <w:rsid w:val="00A25901"/>
    <w:rsid w:val="00A25999"/>
    <w:rsid w:val="00A25A7C"/>
    <w:rsid w:val="00A25DF9"/>
    <w:rsid w:val="00A25FFA"/>
    <w:rsid w:val="00A261A9"/>
    <w:rsid w:val="00A26242"/>
    <w:rsid w:val="00A26449"/>
    <w:rsid w:val="00A265EE"/>
    <w:rsid w:val="00A26933"/>
    <w:rsid w:val="00A26B41"/>
    <w:rsid w:val="00A26B8D"/>
    <w:rsid w:val="00A26C2E"/>
    <w:rsid w:val="00A26E43"/>
    <w:rsid w:val="00A26E9E"/>
    <w:rsid w:val="00A26F61"/>
    <w:rsid w:val="00A270E9"/>
    <w:rsid w:val="00A27226"/>
    <w:rsid w:val="00A2746C"/>
    <w:rsid w:val="00A27818"/>
    <w:rsid w:val="00A27F7E"/>
    <w:rsid w:val="00A30035"/>
    <w:rsid w:val="00A30050"/>
    <w:rsid w:val="00A3016D"/>
    <w:rsid w:val="00A30496"/>
    <w:rsid w:val="00A30648"/>
    <w:rsid w:val="00A306B0"/>
    <w:rsid w:val="00A30890"/>
    <w:rsid w:val="00A309CC"/>
    <w:rsid w:val="00A30FC4"/>
    <w:rsid w:val="00A3101D"/>
    <w:rsid w:val="00A3108F"/>
    <w:rsid w:val="00A31639"/>
    <w:rsid w:val="00A319AE"/>
    <w:rsid w:val="00A321FD"/>
    <w:rsid w:val="00A3252D"/>
    <w:rsid w:val="00A32682"/>
    <w:rsid w:val="00A3272B"/>
    <w:rsid w:val="00A32780"/>
    <w:rsid w:val="00A327D3"/>
    <w:rsid w:val="00A328AE"/>
    <w:rsid w:val="00A32EEF"/>
    <w:rsid w:val="00A32F71"/>
    <w:rsid w:val="00A33223"/>
    <w:rsid w:val="00A332B5"/>
    <w:rsid w:val="00A3345D"/>
    <w:rsid w:val="00A33D13"/>
    <w:rsid w:val="00A341FC"/>
    <w:rsid w:val="00A3485A"/>
    <w:rsid w:val="00A34E57"/>
    <w:rsid w:val="00A34ED2"/>
    <w:rsid w:val="00A34FD9"/>
    <w:rsid w:val="00A354FB"/>
    <w:rsid w:val="00A354FD"/>
    <w:rsid w:val="00A35514"/>
    <w:rsid w:val="00A3569A"/>
    <w:rsid w:val="00A35A6D"/>
    <w:rsid w:val="00A35A79"/>
    <w:rsid w:val="00A3603F"/>
    <w:rsid w:val="00A3665B"/>
    <w:rsid w:val="00A369AB"/>
    <w:rsid w:val="00A369D0"/>
    <w:rsid w:val="00A36B99"/>
    <w:rsid w:val="00A36DD7"/>
    <w:rsid w:val="00A36EDD"/>
    <w:rsid w:val="00A37049"/>
    <w:rsid w:val="00A372D3"/>
    <w:rsid w:val="00A373BC"/>
    <w:rsid w:val="00A373F8"/>
    <w:rsid w:val="00A374A9"/>
    <w:rsid w:val="00A374F8"/>
    <w:rsid w:val="00A376FB"/>
    <w:rsid w:val="00A37737"/>
    <w:rsid w:val="00A378FB"/>
    <w:rsid w:val="00A37A5D"/>
    <w:rsid w:val="00A37AB3"/>
    <w:rsid w:val="00A37BAC"/>
    <w:rsid w:val="00A37F3F"/>
    <w:rsid w:val="00A40096"/>
    <w:rsid w:val="00A40312"/>
    <w:rsid w:val="00A40660"/>
    <w:rsid w:val="00A4125B"/>
    <w:rsid w:val="00A41550"/>
    <w:rsid w:val="00A41B11"/>
    <w:rsid w:val="00A41F02"/>
    <w:rsid w:val="00A42863"/>
    <w:rsid w:val="00A429AA"/>
    <w:rsid w:val="00A42B48"/>
    <w:rsid w:val="00A42BC7"/>
    <w:rsid w:val="00A42C1B"/>
    <w:rsid w:val="00A42C7A"/>
    <w:rsid w:val="00A42CDA"/>
    <w:rsid w:val="00A42F97"/>
    <w:rsid w:val="00A43076"/>
    <w:rsid w:val="00A431B3"/>
    <w:rsid w:val="00A432C9"/>
    <w:rsid w:val="00A4332E"/>
    <w:rsid w:val="00A43541"/>
    <w:rsid w:val="00A435F7"/>
    <w:rsid w:val="00A43B34"/>
    <w:rsid w:val="00A43F05"/>
    <w:rsid w:val="00A441EB"/>
    <w:rsid w:val="00A44230"/>
    <w:rsid w:val="00A442A1"/>
    <w:rsid w:val="00A445D7"/>
    <w:rsid w:val="00A45503"/>
    <w:rsid w:val="00A45741"/>
    <w:rsid w:val="00A45834"/>
    <w:rsid w:val="00A45849"/>
    <w:rsid w:val="00A45FEE"/>
    <w:rsid w:val="00A46367"/>
    <w:rsid w:val="00A463B0"/>
    <w:rsid w:val="00A4661D"/>
    <w:rsid w:val="00A469FE"/>
    <w:rsid w:val="00A46B74"/>
    <w:rsid w:val="00A46B82"/>
    <w:rsid w:val="00A473FA"/>
    <w:rsid w:val="00A4753F"/>
    <w:rsid w:val="00A47C02"/>
    <w:rsid w:val="00A47E80"/>
    <w:rsid w:val="00A5010B"/>
    <w:rsid w:val="00A50135"/>
    <w:rsid w:val="00A50432"/>
    <w:rsid w:val="00A5053A"/>
    <w:rsid w:val="00A506E0"/>
    <w:rsid w:val="00A5081A"/>
    <w:rsid w:val="00A5099C"/>
    <w:rsid w:val="00A509C5"/>
    <w:rsid w:val="00A50B57"/>
    <w:rsid w:val="00A50BEB"/>
    <w:rsid w:val="00A50E73"/>
    <w:rsid w:val="00A51399"/>
    <w:rsid w:val="00A513D2"/>
    <w:rsid w:val="00A51439"/>
    <w:rsid w:val="00A51465"/>
    <w:rsid w:val="00A51504"/>
    <w:rsid w:val="00A51644"/>
    <w:rsid w:val="00A517B9"/>
    <w:rsid w:val="00A518D4"/>
    <w:rsid w:val="00A51914"/>
    <w:rsid w:val="00A51B3C"/>
    <w:rsid w:val="00A52543"/>
    <w:rsid w:val="00A5286D"/>
    <w:rsid w:val="00A5307B"/>
    <w:rsid w:val="00A531D7"/>
    <w:rsid w:val="00A533E9"/>
    <w:rsid w:val="00A536BE"/>
    <w:rsid w:val="00A53DDF"/>
    <w:rsid w:val="00A54004"/>
    <w:rsid w:val="00A54203"/>
    <w:rsid w:val="00A54547"/>
    <w:rsid w:val="00A546D4"/>
    <w:rsid w:val="00A548A7"/>
    <w:rsid w:val="00A5492F"/>
    <w:rsid w:val="00A549E0"/>
    <w:rsid w:val="00A54A15"/>
    <w:rsid w:val="00A54B5B"/>
    <w:rsid w:val="00A54DF6"/>
    <w:rsid w:val="00A5501C"/>
    <w:rsid w:val="00A551FF"/>
    <w:rsid w:val="00A55EC8"/>
    <w:rsid w:val="00A561A8"/>
    <w:rsid w:val="00A563B2"/>
    <w:rsid w:val="00A5674E"/>
    <w:rsid w:val="00A567B3"/>
    <w:rsid w:val="00A568F6"/>
    <w:rsid w:val="00A57196"/>
    <w:rsid w:val="00A5727E"/>
    <w:rsid w:val="00A57456"/>
    <w:rsid w:val="00A57521"/>
    <w:rsid w:val="00A57B01"/>
    <w:rsid w:val="00A57B0D"/>
    <w:rsid w:val="00A57B3A"/>
    <w:rsid w:val="00A57C0D"/>
    <w:rsid w:val="00A57E9B"/>
    <w:rsid w:val="00A57FC4"/>
    <w:rsid w:val="00A60092"/>
    <w:rsid w:val="00A605DF"/>
    <w:rsid w:val="00A605E9"/>
    <w:rsid w:val="00A6065E"/>
    <w:rsid w:val="00A60B8B"/>
    <w:rsid w:val="00A60BBC"/>
    <w:rsid w:val="00A60CB9"/>
    <w:rsid w:val="00A60DCB"/>
    <w:rsid w:val="00A613ED"/>
    <w:rsid w:val="00A61828"/>
    <w:rsid w:val="00A619C8"/>
    <w:rsid w:val="00A61C76"/>
    <w:rsid w:val="00A61CC5"/>
    <w:rsid w:val="00A61FB2"/>
    <w:rsid w:val="00A62356"/>
    <w:rsid w:val="00A62B3C"/>
    <w:rsid w:val="00A62BCE"/>
    <w:rsid w:val="00A62D07"/>
    <w:rsid w:val="00A62DE3"/>
    <w:rsid w:val="00A634FD"/>
    <w:rsid w:val="00A63F8A"/>
    <w:rsid w:val="00A6425B"/>
    <w:rsid w:val="00A6436B"/>
    <w:rsid w:val="00A64526"/>
    <w:rsid w:val="00A6470E"/>
    <w:rsid w:val="00A6482B"/>
    <w:rsid w:val="00A64863"/>
    <w:rsid w:val="00A6491D"/>
    <w:rsid w:val="00A6561F"/>
    <w:rsid w:val="00A65A36"/>
    <w:rsid w:val="00A65B4E"/>
    <w:rsid w:val="00A65E73"/>
    <w:rsid w:val="00A65E8A"/>
    <w:rsid w:val="00A65F6C"/>
    <w:rsid w:val="00A664B6"/>
    <w:rsid w:val="00A66833"/>
    <w:rsid w:val="00A669DF"/>
    <w:rsid w:val="00A67286"/>
    <w:rsid w:val="00A67482"/>
    <w:rsid w:val="00A676DE"/>
    <w:rsid w:val="00A677AF"/>
    <w:rsid w:val="00A67842"/>
    <w:rsid w:val="00A678B1"/>
    <w:rsid w:val="00A67C3A"/>
    <w:rsid w:val="00A67D3C"/>
    <w:rsid w:val="00A70447"/>
    <w:rsid w:val="00A709E9"/>
    <w:rsid w:val="00A70B2B"/>
    <w:rsid w:val="00A70C8B"/>
    <w:rsid w:val="00A70EFF"/>
    <w:rsid w:val="00A710FB"/>
    <w:rsid w:val="00A711DC"/>
    <w:rsid w:val="00A7152B"/>
    <w:rsid w:val="00A716EA"/>
    <w:rsid w:val="00A7173D"/>
    <w:rsid w:val="00A71E1A"/>
    <w:rsid w:val="00A72127"/>
    <w:rsid w:val="00A7215D"/>
    <w:rsid w:val="00A721F6"/>
    <w:rsid w:val="00A723A0"/>
    <w:rsid w:val="00A724BB"/>
    <w:rsid w:val="00A7279B"/>
    <w:rsid w:val="00A728D2"/>
    <w:rsid w:val="00A72A6B"/>
    <w:rsid w:val="00A72B41"/>
    <w:rsid w:val="00A72B53"/>
    <w:rsid w:val="00A72BA1"/>
    <w:rsid w:val="00A72BE0"/>
    <w:rsid w:val="00A72E1C"/>
    <w:rsid w:val="00A731AE"/>
    <w:rsid w:val="00A737B9"/>
    <w:rsid w:val="00A73E45"/>
    <w:rsid w:val="00A73F42"/>
    <w:rsid w:val="00A73FAD"/>
    <w:rsid w:val="00A74062"/>
    <w:rsid w:val="00A7442E"/>
    <w:rsid w:val="00A74611"/>
    <w:rsid w:val="00A748E2"/>
    <w:rsid w:val="00A74A3A"/>
    <w:rsid w:val="00A74B3C"/>
    <w:rsid w:val="00A74E9A"/>
    <w:rsid w:val="00A7500C"/>
    <w:rsid w:val="00A75285"/>
    <w:rsid w:val="00A75720"/>
    <w:rsid w:val="00A758AF"/>
    <w:rsid w:val="00A75FBB"/>
    <w:rsid w:val="00A760B2"/>
    <w:rsid w:val="00A761C2"/>
    <w:rsid w:val="00A762C6"/>
    <w:rsid w:val="00A763EB"/>
    <w:rsid w:val="00A765FC"/>
    <w:rsid w:val="00A76C38"/>
    <w:rsid w:val="00A772D4"/>
    <w:rsid w:val="00A774EC"/>
    <w:rsid w:val="00A775F1"/>
    <w:rsid w:val="00A77A90"/>
    <w:rsid w:val="00A77DAE"/>
    <w:rsid w:val="00A8021D"/>
    <w:rsid w:val="00A8031B"/>
    <w:rsid w:val="00A80807"/>
    <w:rsid w:val="00A80AE2"/>
    <w:rsid w:val="00A80BC3"/>
    <w:rsid w:val="00A81AE2"/>
    <w:rsid w:val="00A826DA"/>
    <w:rsid w:val="00A82A39"/>
    <w:rsid w:val="00A83176"/>
    <w:rsid w:val="00A83309"/>
    <w:rsid w:val="00A83538"/>
    <w:rsid w:val="00A8391F"/>
    <w:rsid w:val="00A83E16"/>
    <w:rsid w:val="00A84003"/>
    <w:rsid w:val="00A84014"/>
    <w:rsid w:val="00A845F2"/>
    <w:rsid w:val="00A84647"/>
    <w:rsid w:val="00A848C7"/>
    <w:rsid w:val="00A849F3"/>
    <w:rsid w:val="00A853CC"/>
    <w:rsid w:val="00A85549"/>
    <w:rsid w:val="00A85BA5"/>
    <w:rsid w:val="00A85C2B"/>
    <w:rsid w:val="00A85D83"/>
    <w:rsid w:val="00A85DB9"/>
    <w:rsid w:val="00A85E5B"/>
    <w:rsid w:val="00A85E6E"/>
    <w:rsid w:val="00A85FB9"/>
    <w:rsid w:val="00A86630"/>
    <w:rsid w:val="00A8685B"/>
    <w:rsid w:val="00A8698E"/>
    <w:rsid w:val="00A86A4A"/>
    <w:rsid w:val="00A86E8A"/>
    <w:rsid w:val="00A87A73"/>
    <w:rsid w:val="00A87D6A"/>
    <w:rsid w:val="00A87DAD"/>
    <w:rsid w:val="00A87F33"/>
    <w:rsid w:val="00A90362"/>
    <w:rsid w:val="00A90555"/>
    <w:rsid w:val="00A906EA"/>
    <w:rsid w:val="00A90B87"/>
    <w:rsid w:val="00A90C23"/>
    <w:rsid w:val="00A90D29"/>
    <w:rsid w:val="00A9111C"/>
    <w:rsid w:val="00A91231"/>
    <w:rsid w:val="00A912F2"/>
    <w:rsid w:val="00A9145B"/>
    <w:rsid w:val="00A915D1"/>
    <w:rsid w:val="00A91607"/>
    <w:rsid w:val="00A919AD"/>
    <w:rsid w:val="00A91B54"/>
    <w:rsid w:val="00A91CB1"/>
    <w:rsid w:val="00A91FFD"/>
    <w:rsid w:val="00A92F3C"/>
    <w:rsid w:val="00A9346D"/>
    <w:rsid w:val="00A9357E"/>
    <w:rsid w:val="00A9377E"/>
    <w:rsid w:val="00A939DF"/>
    <w:rsid w:val="00A945A7"/>
    <w:rsid w:val="00A94726"/>
    <w:rsid w:val="00A94C69"/>
    <w:rsid w:val="00A94D7A"/>
    <w:rsid w:val="00A94E66"/>
    <w:rsid w:val="00A94F69"/>
    <w:rsid w:val="00A94FB6"/>
    <w:rsid w:val="00A95A02"/>
    <w:rsid w:val="00A95B5B"/>
    <w:rsid w:val="00A9659B"/>
    <w:rsid w:val="00A966BD"/>
    <w:rsid w:val="00A96CA7"/>
    <w:rsid w:val="00A97168"/>
    <w:rsid w:val="00A9740B"/>
    <w:rsid w:val="00A97583"/>
    <w:rsid w:val="00A97731"/>
    <w:rsid w:val="00A977B4"/>
    <w:rsid w:val="00A9790D"/>
    <w:rsid w:val="00A97937"/>
    <w:rsid w:val="00A9795A"/>
    <w:rsid w:val="00AA0216"/>
    <w:rsid w:val="00AA0E18"/>
    <w:rsid w:val="00AA0E1E"/>
    <w:rsid w:val="00AA1220"/>
    <w:rsid w:val="00AA164E"/>
    <w:rsid w:val="00AA16DB"/>
    <w:rsid w:val="00AA187A"/>
    <w:rsid w:val="00AA1AD1"/>
    <w:rsid w:val="00AA1D29"/>
    <w:rsid w:val="00AA23F1"/>
    <w:rsid w:val="00AA26E7"/>
    <w:rsid w:val="00AA290F"/>
    <w:rsid w:val="00AA2E9B"/>
    <w:rsid w:val="00AA3DB4"/>
    <w:rsid w:val="00AA407A"/>
    <w:rsid w:val="00AA43BF"/>
    <w:rsid w:val="00AA4405"/>
    <w:rsid w:val="00AA4E3B"/>
    <w:rsid w:val="00AA5212"/>
    <w:rsid w:val="00AA5392"/>
    <w:rsid w:val="00AA5BB2"/>
    <w:rsid w:val="00AA5EF0"/>
    <w:rsid w:val="00AA5F8D"/>
    <w:rsid w:val="00AA62CF"/>
    <w:rsid w:val="00AA66EE"/>
    <w:rsid w:val="00AA6D76"/>
    <w:rsid w:val="00AA7250"/>
    <w:rsid w:val="00AA72FE"/>
    <w:rsid w:val="00AA7682"/>
    <w:rsid w:val="00AA7B63"/>
    <w:rsid w:val="00AA7B9D"/>
    <w:rsid w:val="00AB00B2"/>
    <w:rsid w:val="00AB01B9"/>
    <w:rsid w:val="00AB05B7"/>
    <w:rsid w:val="00AB05DC"/>
    <w:rsid w:val="00AB0B29"/>
    <w:rsid w:val="00AB1234"/>
    <w:rsid w:val="00AB1947"/>
    <w:rsid w:val="00AB1963"/>
    <w:rsid w:val="00AB1BC9"/>
    <w:rsid w:val="00AB1F06"/>
    <w:rsid w:val="00AB1FBB"/>
    <w:rsid w:val="00AB1FE2"/>
    <w:rsid w:val="00AB2336"/>
    <w:rsid w:val="00AB25FE"/>
    <w:rsid w:val="00AB3050"/>
    <w:rsid w:val="00AB3579"/>
    <w:rsid w:val="00AB3677"/>
    <w:rsid w:val="00AB388F"/>
    <w:rsid w:val="00AB3972"/>
    <w:rsid w:val="00AB39E6"/>
    <w:rsid w:val="00AB3CC6"/>
    <w:rsid w:val="00AB3F17"/>
    <w:rsid w:val="00AB3F49"/>
    <w:rsid w:val="00AB41ED"/>
    <w:rsid w:val="00AB482F"/>
    <w:rsid w:val="00AB4A00"/>
    <w:rsid w:val="00AB4B17"/>
    <w:rsid w:val="00AB4B55"/>
    <w:rsid w:val="00AB518D"/>
    <w:rsid w:val="00AB5445"/>
    <w:rsid w:val="00AB559F"/>
    <w:rsid w:val="00AB581A"/>
    <w:rsid w:val="00AB5981"/>
    <w:rsid w:val="00AB5DA8"/>
    <w:rsid w:val="00AB60F4"/>
    <w:rsid w:val="00AB62FF"/>
    <w:rsid w:val="00AB676B"/>
    <w:rsid w:val="00AB695A"/>
    <w:rsid w:val="00AB6CEC"/>
    <w:rsid w:val="00AB6D15"/>
    <w:rsid w:val="00AB6EB5"/>
    <w:rsid w:val="00AB7471"/>
    <w:rsid w:val="00AB74D5"/>
    <w:rsid w:val="00AB7760"/>
    <w:rsid w:val="00AB7A20"/>
    <w:rsid w:val="00AB7F61"/>
    <w:rsid w:val="00AC02E0"/>
    <w:rsid w:val="00AC0843"/>
    <w:rsid w:val="00AC0FA7"/>
    <w:rsid w:val="00AC105F"/>
    <w:rsid w:val="00AC1F7D"/>
    <w:rsid w:val="00AC1FF2"/>
    <w:rsid w:val="00AC2202"/>
    <w:rsid w:val="00AC243B"/>
    <w:rsid w:val="00AC2462"/>
    <w:rsid w:val="00AC2CA4"/>
    <w:rsid w:val="00AC2E6D"/>
    <w:rsid w:val="00AC2E91"/>
    <w:rsid w:val="00AC2FC8"/>
    <w:rsid w:val="00AC3060"/>
    <w:rsid w:val="00AC3360"/>
    <w:rsid w:val="00AC3413"/>
    <w:rsid w:val="00AC3645"/>
    <w:rsid w:val="00AC3840"/>
    <w:rsid w:val="00AC415F"/>
    <w:rsid w:val="00AC4656"/>
    <w:rsid w:val="00AC4701"/>
    <w:rsid w:val="00AC4884"/>
    <w:rsid w:val="00AC496E"/>
    <w:rsid w:val="00AC5403"/>
    <w:rsid w:val="00AC59A3"/>
    <w:rsid w:val="00AC5A66"/>
    <w:rsid w:val="00AC6039"/>
    <w:rsid w:val="00AC6106"/>
    <w:rsid w:val="00AC6259"/>
    <w:rsid w:val="00AC6297"/>
    <w:rsid w:val="00AC63E9"/>
    <w:rsid w:val="00AC6577"/>
    <w:rsid w:val="00AC68C0"/>
    <w:rsid w:val="00AC6CA9"/>
    <w:rsid w:val="00AC6D35"/>
    <w:rsid w:val="00AC75AD"/>
    <w:rsid w:val="00AC773E"/>
    <w:rsid w:val="00AC7776"/>
    <w:rsid w:val="00AC77D1"/>
    <w:rsid w:val="00AD01D2"/>
    <w:rsid w:val="00AD0371"/>
    <w:rsid w:val="00AD06E9"/>
    <w:rsid w:val="00AD077A"/>
    <w:rsid w:val="00AD0A8E"/>
    <w:rsid w:val="00AD1DC8"/>
    <w:rsid w:val="00AD1DF2"/>
    <w:rsid w:val="00AD25D0"/>
    <w:rsid w:val="00AD3310"/>
    <w:rsid w:val="00AD37A1"/>
    <w:rsid w:val="00AD40B1"/>
    <w:rsid w:val="00AD42AA"/>
    <w:rsid w:val="00AD42E8"/>
    <w:rsid w:val="00AD436D"/>
    <w:rsid w:val="00AD4479"/>
    <w:rsid w:val="00AD492E"/>
    <w:rsid w:val="00AD4DF7"/>
    <w:rsid w:val="00AD4E03"/>
    <w:rsid w:val="00AD4F3E"/>
    <w:rsid w:val="00AD505A"/>
    <w:rsid w:val="00AD518C"/>
    <w:rsid w:val="00AD59C0"/>
    <w:rsid w:val="00AD5A24"/>
    <w:rsid w:val="00AD5AA1"/>
    <w:rsid w:val="00AD5F1E"/>
    <w:rsid w:val="00AD6160"/>
    <w:rsid w:val="00AD6607"/>
    <w:rsid w:val="00AD66B8"/>
    <w:rsid w:val="00AD6908"/>
    <w:rsid w:val="00AD6928"/>
    <w:rsid w:val="00AD6FDA"/>
    <w:rsid w:val="00AD705C"/>
    <w:rsid w:val="00AD7521"/>
    <w:rsid w:val="00AD7625"/>
    <w:rsid w:val="00AD7753"/>
    <w:rsid w:val="00AD7782"/>
    <w:rsid w:val="00AE0101"/>
    <w:rsid w:val="00AE01E9"/>
    <w:rsid w:val="00AE0309"/>
    <w:rsid w:val="00AE036A"/>
    <w:rsid w:val="00AE05CB"/>
    <w:rsid w:val="00AE0DB6"/>
    <w:rsid w:val="00AE112B"/>
    <w:rsid w:val="00AE1402"/>
    <w:rsid w:val="00AE14D8"/>
    <w:rsid w:val="00AE1906"/>
    <w:rsid w:val="00AE1A55"/>
    <w:rsid w:val="00AE1EE8"/>
    <w:rsid w:val="00AE22C2"/>
    <w:rsid w:val="00AE2347"/>
    <w:rsid w:val="00AE23DF"/>
    <w:rsid w:val="00AE2573"/>
    <w:rsid w:val="00AE2AE7"/>
    <w:rsid w:val="00AE2B2A"/>
    <w:rsid w:val="00AE3030"/>
    <w:rsid w:val="00AE315C"/>
    <w:rsid w:val="00AE3697"/>
    <w:rsid w:val="00AE3749"/>
    <w:rsid w:val="00AE3765"/>
    <w:rsid w:val="00AE377E"/>
    <w:rsid w:val="00AE394F"/>
    <w:rsid w:val="00AE3DED"/>
    <w:rsid w:val="00AE3FCA"/>
    <w:rsid w:val="00AE40CC"/>
    <w:rsid w:val="00AE412E"/>
    <w:rsid w:val="00AE4532"/>
    <w:rsid w:val="00AE4663"/>
    <w:rsid w:val="00AE46A8"/>
    <w:rsid w:val="00AE4B65"/>
    <w:rsid w:val="00AE4CFB"/>
    <w:rsid w:val="00AE4E16"/>
    <w:rsid w:val="00AE5757"/>
    <w:rsid w:val="00AE5857"/>
    <w:rsid w:val="00AE5903"/>
    <w:rsid w:val="00AE5C02"/>
    <w:rsid w:val="00AE5DD7"/>
    <w:rsid w:val="00AE6182"/>
    <w:rsid w:val="00AE629A"/>
    <w:rsid w:val="00AE67F5"/>
    <w:rsid w:val="00AE691D"/>
    <w:rsid w:val="00AE6A57"/>
    <w:rsid w:val="00AE6E79"/>
    <w:rsid w:val="00AE6F17"/>
    <w:rsid w:val="00AE7078"/>
    <w:rsid w:val="00AE724A"/>
    <w:rsid w:val="00AE7751"/>
    <w:rsid w:val="00AE78A6"/>
    <w:rsid w:val="00AE7F7A"/>
    <w:rsid w:val="00AF0155"/>
    <w:rsid w:val="00AF0263"/>
    <w:rsid w:val="00AF0B90"/>
    <w:rsid w:val="00AF0CD3"/>
    <w:rsid w:val="00AF0EC2"/>
    <w:rsid w:val="00AF1413"/>
    <w:rsid w:val="00AF1673"/>
    <w:rsid w:val="00AF1753"/>
    <w:rsid w:val="00AF1772"/>
    <w:rsid w:val="00AF1938"/>
    <w:rsid w:val="00AF19C2"/>
    <w:rsid w:val="00AF1D8B"/>
    <w:rsid w:val="00AF1E8A"/>
    <w:rsid w:val="00AF1F11"/>
    <w:rsid w:val="00AF21B9"/>
    <w:rsid w:val="00AF24D6"/>
    <w:rsid w:val="00AF2939"/>
    <w:rsid w:val="00AF2A8E"/>
    <w:rsid w:val="00AF2EE2"/>
    <w:rsid w:val="00AF34D6"/>
    <w:rsid w:val="00AF35B4"/>
    <w:rsid w:val="00AF39FB"/>
    <w:rsid w:val="00AF3DC3"/>
    <w:rsid w:val="00AF3E24"/>
    <w:rsid w:val="00AF3FC0"/>
    <w:rsid w:val="00AF400B"/>
    <w:rsid w:val="00AF437B"/>
    <w:rsid w:val="00AF478A"/>
    <w:rsid w:val="00AF4878"/>
    <w:rsid w:val="00AF488B"/>
    <w:rsid w:val="00AF495C"/>
    <w:rsid w:val="00AF4F27"/>
    <w:rsid w:val="00AF50D0"/>
    <w:rsid w:val="00AF532A"/>
    <w:rsid w:val="00AF543F"/>
    <w:rsid w:val="00AF5C29"/>
    <w:rsid w:val="00AF6030"/>
    <w:rsid w:val="00AF60E3"/>
    <w:rsid w:val="00AF6319"/>
    <w:rsid w:val="00AF6393"/>
    <w:rsid w:val="00AF692C"/>
    <w:rsid w:val="00AF6CAA"/>
    <w:rsid w:val="00AF6EC8"/>
    <w:rsid w:val="00AF6EE9"/>
    <w:rsid w:val="00AF709C"/>
    <w:rsid w:val="00AF74F2"/>
    <w:rsid w:val="00AF766D"/>
    <w:rsid w:val="00AF7C6E"/>
    <w:rsid w:val="00AF7EDC"/>
    <w:rsid w:val="00B002D7"/>
    <w:rsid w:val="00B00376"/>
    <w:rsid w:val="00B0041C"/>
    <w:rsid w:val="00B00722"/>
    <w:rsid w:val="00B00CD6"/>
    <w:rsid w:val="00B00DC0"/>
    <w:rsid w:val="00B00EBC"/>
    <w:rsid w:val="00B011E5"/>
    <w:rsid w:val="00B01278"/>
    <w:rsid w:val="00B012C1"/>
    <w:rsid w:val="00B0144B"/>
    <w:rsid w:val="00B014E5"/>
    <w:rsid w:val="00B01782"/>
    <w:rsid w:val="00B0198E"/>
    <w:rsid w:val="00B01C78"/>
    <w:rsid w:val="00B01DB1"/>
    <w:rsid w:val="00B01F1F"/>
    <w:rsid w:val="00B020BC"/>
    <w:rsid w:val="00B025CF"/>
    <w:rsid w:val="00B02AEB"/>
    <w:rsid w:val="00B02C4A"/>
    <w:rsid w:val="00B02ED2"/>
    <w:rsid w:val="00B02F7F"/>
    <w:rsid w:val="00B03652"/>
    <w:rsid w:val="00B03D9A"/>
    <w:rsid w:val="00B04B44"/>
    <w:rsid w:val="00B04B8F"/>
    <w:rsid w:val="00B04C66"/>
    <w:rsid w:val="00B04EB0"/>
    <w:rsid w:val="00B04FA8"/>
    <w:rsid w:val="00B05002"/>
    <w:rsid w:val="00B0506D"/>
    <w:rsid w:val="00B05089"/>
    <w:rsid w:val="00B05090"/>
    <w:rsid w:val="00B05216"/>
    <w:rsid w:val="00B06094"/>
    <w:rsid w:val="00B0623A"/>
    <w:rsid w:val="00B063D9"/>
    <w:rsid w:val="00B06405"/>
    <w:rsid w:val="00B0653F"/>
    <w:rsid w:val="00B067DE"/>
    <w:rsid w:val="00B06D8E"/>
    <w:rsid w:val="00B06F2E"/>
    <w:rsid w:val="00B0723B"/>
    <w:rsid w:val="00B0733F"/>
    <w:rsid w:val="00B077BC"/>
    <w:rsid w:val="00B07814"/>
    <w:rsid w:val="00B07AA8"/>
    <w:rsid w:val="00B07F7E"/>
    <w:rsid w:val="00B10399"/>
    <w:rsid w:val="00B10764"/>
    <w:rsid w:val="00B1084A"/>
    <w:rsid w:val="00B1104A"/>
    <w:rsid w:val="00B11111"/>
    <w:rsid w:val="00B11466"/>
    <w:rsid w:val="00B1153D"/>
    <w:rsid w:val="00B1163F"/>
    <w:rsid w:val="00B11BDE"/>
    <w:rsid w:val="00B11D98"/>
    <w:rsid w:val="00B11DF4"/>
    <w:rsid w:val="00B11FB2"/>
    <w:rsid w:val="00B1230F"/>
    <w:rsid w:val="00B12335"/>
    <w:rsid w:val="00B1240B"/>
    <w:rsid w:val="00B12540"/>
    <w:rsid w:val="00B126E6"/>
    <w:rsid w:val="00B1284D"/>
    <w:rsid w:val="00B12C54"/>
    <w:rsid w:val="00B12E4C"/>
    <w:rsid w:val="00B13265"/>
    <w:rsid w:val="00B1350D"/>
    <w:rsid w:val="00B13513"/>
    <w:rsid w:val="00B135DE"/>
    <w:rsid w:val="00B137CD"/>
    <w:rsid w:val="00B13B4F"/>
    <w:rsid w:val="00B13BBA"/>
    <w:rsid w:val="00B13C68"/>
    <w:rsid w:val="00B13D79"/>
    <w:rsid w:val="00B13DFC"/>
    <w:rsid w:val="00B14571"/>
    <w:rsid w:val="00B145A6"/>
    <w:rsid w:val="00B14706"/>
    <w:rsid w:val="00B14EDE"/>
    <w:rsid w:val="00B15246"/>
    <w:rsid w:val="00B156A1"/>
    <w:rsid w:val="00B15995"/>
    <w:rsid w:val="00B15F77"/>
    <w:rsid w:val="00B15FCD"/>
    <w:rsid w:val="00B1621C"/>
    <w:rsid w:val="00B162E6"/>
    <w:rsid w:val="00B16338"/>
    <w:rsid w:val="00B164C2"/>
    <w:rsid w:val="00B165D8"/>
    <w:rsid w:val="00B16716"/>
    <w:rsid w:val="00B167CB"/>
    <w:rsid w:val="00B16AAF"/>
    <w:rsid w:val="00B16BA6"/>
    <w:rsid w:val="00B16BA7"/>
    <w:rsid w:val="00B1703D"/>
    <w:rsid w:val="00B172F6"/>
    <w:rsid w:val="00B1795B"/>
    <w:rsid w:val="00B17A2D"/>
    <w:rsid w:val="00B17A40"/>
    <w:rsid w:val="00B17D90"/>
    <w:rsid w:val="00B2021C"/>
    <w:rsid w:val="00B2027C"/>
    <w:rsid w:val="00B203B4"/>
    <w:rsid w:val="00B20667"/>
    <w:rsid w:val="00B206BA"/>
    <w:rsid w:val="00B207DE"/>
    <w:rsid w:val="00B20CD2"/>
    <w:rsid w:val="00B20CEA"/>
    <w:rsid w:val="00B20D0D"/>
    <w:rsid w:val="00B20D57"/>
    <w:rsid w:val="00B20DE9"/>
    <w:rsid w:val="00B20DF1"/>
    <w:rsid w:val="00B20E21"/>
    <w:rsid w:val="00B20E51"/>
    <w:rsid w:val="00B210C6"/>
    <w:rsid w:val="00B212C7"/>
    <w:rsid w:val="00B21AFD"/>
    <w:rsid w:val="00B22001"/>
    <w:rsid w:val="00B22222"/>
    <w:rsid w:val="00B2249D"/>
    <w:rsid w:val="00B224BD"/>
    <w:rsid w:val="00B22B90"/>
    <w:rsid w:val="00B22C47"/>
    <w:rsid w:val="00B230FF"/>
    <w:rsid w:val="00B236FA"/>
    <w:rsid w:val="00B237F5"/>
    <w:rsid w:val="00B242D9"/>
    <w:rsid w:val="00B242E8"/>
    <w:rsid w:val="00B24683"/>
    <w:rsid w:val="00B24799"/>
    <w:rsid w:val="00B24969"/>
    <w:rsid w:val="00B24B7C"/>
    <w:rsid w:val="00B24B7D"/>
    <w:rsid w:val="00B24CB2"/>
    <w:rsid w:val="00B24CC3"/>
    <w:rsid w:val="00B2508C"/>
    <w:rsid w:val="00B250C7"/>
    <w:rsid w:val="00B253D1"/>
    <w:rsid w:val="00B253EF"/>
    <w:rsid w:val="00B2568E"/>
    <w:rsid w:val="00B256A2"/>
    <w:rsid w:val="00B256DF"/>
    <w:rsid w:val="00B25BB3"/>
    <w:rsid w:val="00B25D38"/>
    <w:rsid w:val="00B25F27"/>
    <w:rsid w:val="00B260E6"/>
    <w:rsid w:val="00B26829"/>
    <w:rsid w:val="00B26CFC"/>
    <w:rsid w:val="00B26DE4"/>
    <w:rsid w:val="00B26E93"/>
    <w:rsid w:val="00B27327"/>
    <w:rsid w:val="00B273D2"/>
    <w:rsid w:val="00B277D2"/>
    <w:rsid w:val="00B27EA6"/>
    <w:rsid w:val="00B30131"/>
    <w:rsid w:val="00B309B0"/>
    <w:rsid w:val="00B30A24"/>
    <w:rsid w:val="00B310EC"/>
    <w:rsid w:val="00B311E9"/>
    <w:rsid w:val="00B31306"/>
    <w:rsid w:val="00B31332"/>
    <w:rsid w:val="00B314AE"/>
    <w:rsid w:val="00B31887"/>
    <w:rsid w:val="00B319F5"/>
    <w:rsid w:val="00B31CA3"/>
    <w:rsid w:val="00B31CD5"/>
    <w:rsid w:val="00B32024"/>
    <w:rsid w:val="00B321F9"/>
    <w:rsid w:val="00B32673"/>
    <w:rsid w:val="00B326A1"/>
    <w:rsid w:val="00B32719"/>
    <w:rsid w:val="00B3276E"/>
    <w:rsid w:val="00B327D5"/>
    <w:rsid w:val="00B327E0"/>
    <w:rsid w:val="00B32996"/>
    <w:rsid w:val="00B32B21"/>
    <w:rsid w:val="00B3341E"/>
    <w:rsid w:val="00B335E8"/>
    <w:rsid w:val="00B337C8"/>
    <w:rsid w:val="00B33BD8"/>
    <w:rsid w:val="00B33BEA"/>
    <w:rsid w:val="00B33D01"/>
    <w:rsid w:val="00B3433E"/>
    <w:rsid w:val="00B34A6C"/>
    <w:rsid w:val="00B34BC7"/>
    <w:rsid w:val="00B34D4E"/>
    <w:rsid w:val="00B34E04"/>
    <w:rsid w:val="00B34E78"/>
    <w:rsid w:val="00B34F1B"/>
    <w:rsid w:val="00B34FC2"/>
    <w:rsid w:val="00B35014"/>
    <w:rsid w:val="00B3512F"/>
    <w:rsid w:val="00B3527F"/>
    <w:rsid w:val="00B352F6"/>
    <w:rsid w:val="00B3541F"/>
    <w:rsid w:val="00B35764"/>
    <w:rsid w:val="00B359FC"/>
    <w:rsid w:val="00B35AB4"/>
    <w:rsid w:val="00B35C5E"/>
    <w:rsid w:val="00B35C96"/>
    <w:rsid w:val="00B35E79"/>
    <w:rsid w:val="00B3605A"/>
    <w:rsid w:val="00B361AB"/>
    <w:rsid w:val="00B365C3"/>
    <w:rsid w:val="00B36749"/>
    <w:rsid w:val="00B367A1"/>
    <w:rsid w:val="00B368EA"/>
    <w:rsid w:val="00B36918"/>
    <w:rsid w:val="00B36AEB"/>
    <w:rsid w:val="00B36AF7"/>
    <w:rsid w:val="00B37975"/>
    <w:rsid w:val="00B379B4"/>
    <w:rsid w:val="00B37B8F"/>
    <w:rsid w:val="00B37E00"/>
    <w:rsid w:val="00B405CA"/>
    <w:rsid w:val="00B40719"/>
    <w:rsid w:val="00B40BE6"/>
    <w:rsid w:val="00B40F6C"/>
    <w:rsid w:val="00B41913"/>
    <w:rsid w:val="00B41A54"/>
    <w:rsid w:val="00B41CC0"/>
    <w:rsid w:val="00B41D63"/>
    <w:rsid w:val="00B420AD"/>
    <w:rsid w:val="00B42230"/>
    <w:rsid w:val="00B422E1"/>
    <w:rsid w:val="00B42B33"/>
    <w:rsid w:val="00B42C66"/>
    <w:rsid w:val="00B42EC6"/>
    <w:rsid w:val="00B430E6"/>
    <w:rsid w:val="00B438BE"/>
    <w:rsid w:val="00B43A71"/>
    <w:rsid w:val="00B43ADC"/>
    <w:rsid w:val="00B440D0"/>
    <w:rsid w:val="00B44294"/>
    <w:rsid w:val="00B44297"/>
    <w:rsid w:val="00B444BA"/>
    <w:rsid w:val="00B4482B"/>
    <w:rsid w:val="00B44B2E"/>
    <w:rsid w:val="00B455D6"/>
    <w:rsid w:val="00B45846"/>
    <w:rsid w:val="00B458D2"/>
    <w:rsid w:val="00B45A3D"/>
    <w:rsid w:val="00B45A69"/>
    <w:rsid w:val="00B45F73"/>
    <w:rsid w:val="00B46189"/>
    <w:rsid w:val="00B466E3"/>
    <w:rsid w:val="00B466E6"/>
    <w:rsid w:val="00B46955"/>
    <w:rsid w:val="00B469D8"/>
    <w:rsid w:val="00B46BBA"/>
    <w:rsid w:val="00B46E6A"/>
    <w:rsid w:val="00B46FD4"/>
    <w:rsid w:val="00B47080"/>
    <w:rsid w:val="00B47089"/>
    <w:rsid w:val="00B479C4"/>
    <w:rsid w:val="00B47B8E"/>
    <w:rsid w:val="00B47D5E"/>
    <w:rsid w:val="00B5021C"/>
    <w:rsid w:val="00B502A3"/>
    <w:rsid w:val="00B50584"/>
    <w:rsid w:val="00B50585"/>
    <w:rsid w:val="00B50861"/>
    <w:rsid w:val="00B50BEC"/>
    <w:rsid w:val="00B5104A"/>
    <w:rsid w:val="00B51201"/>
    <w:rsid w:val="00B514FA"/>
    <w:rsid w:val="00B515D0"/>
    <w:rsid w:val="00B51832"/>
    <w:rsid w:val="00B51AD2"/>
    <w:rsid w:val="00B51C4E"/>
    <w:rsid w:val="00B51F06"/>
    <w:rsid w:val="00B5205F"/>
    <w:rsid w:val="00B5227D"/>
    <w:rsid w:val="00B5238A"/>
    <w:rsid w:val="00B5253F"/>
    <w:rsid w:val="00B5260E"/>
    <w:rsid w:val="00B526FB"/>
    <w:rsid w:val="00B52889"/>
    <w:rsid w:val="00B529E6"/>
    <w:rsid w:val="00B52AE8"/>
    <w:rsid w:val="00B5327C"/>
    <w:rsid w:val="00B53289"/>
    <w:rsid w:val="00B5333E"/>
    <w:rsid w:val="00B533D9"/>
    <w:rsid w:val="00B5346F"/>
    <w:rsid w:val="00B53671"/>
    <w:rsid w:val="00B538DD"/>
    <w:rsid w:val="00B5396F"/>
    <w:rsid w:val="00B53AAB"/>
    <w:rsid w:val="00B54022"/>
    <w:rsid w:val="00B541C8"/>
    <w:rsid w:val="00B5428E"/>
    <w:rsid w:val="00B5458E"/>
    <w:rsid w:val="00B54659"/>
    <w:rsid w:val="00B549AA"/>
    <w:rsid w:val="00B54F9B"/>
    <w:rsid w:val="00B5509E"/>
    <w:rsid w:val="00B55539"/>
    <w:rsid w:val="00B556FA"/>
    <w:rsid w:val="00B559A3"/>
    <w:rsid w:val="00B55B45"/>
    <w:rsid w:val="00B55C02"/>
    <w:rsid w:val="00B55CF7"/>
    <w:rsid w:val="00B55D4F"/>
    <w:rsid w:val="00B55E9C"/>
    <w:rsid w:val="00B56031"/>
    <w:rsid w:val="00B5621B"/>
    <w:rsid w:val="00B5623F"/>
    <w:rsid w:val="00B562C3"/>
    <w:rsid w:val="00B56478"/>
    <w:rsid w:val="00B56502"/>
    <w:rsid w:val="00B56A2A"/>
    <w:rsid w:val="00B56A64"/>
    <w:rsid w:val="00B56AEF"/>
    <w:rsid w:val="00B56C05"/>
    <w:rsid w:val="00B56C06"/>
    <w:rsid w:val="00B57151"/>
    <w:rsid w:val="00B57773"/>
    <w:rsid w:val="00B578FF"/>
    <w:rsid w:val="00B5796B"/>
    <w:rsid w:val="00B57A67"/>
    <w:rsid w:val="00B60057"/>
    <w:rsid w:val="00B600CE"/>
    <w:rsid w:val="00B6010B"/>
    <w:rsid w:val="00B605A3"/>
    <w:rsid w:val="00B60649"/>
    <w:rsid w:val="00B607D9"/>
    <w:rsid w:val="00B60B47"/>
    <w:rsid w:val="00B60BE4"/>
    <w:rsid w:val="00B60EC7"/>
    <w:rsid w:val="00B6141F"/>
    <w:rsid w:val="00B6143A"/>
    <w:rsid w:val="00B61722"/>
    <w:rsid w:val="00B61B04"/>
    <w:rsid w:val="00B61B94"/>
    <w:rsid w:val="00B61C10"/>
    <w:rsid w:val="00B61E9C"/>
    <w:rsid w:val="00B61F06"/>
    <w:rsid w:val="00B62385"/>
    <w:rsid w:val="00B623A0"/>
    <w:rsid w:val="00B62474"/>
    <w:rsid w:val="00B62B9C"/>
    <w:rsid w:val="00B62BE7"/>
    <w:rsid w:val="00B62CB5"/>
    <w:rsid w:val="00B62E14"/>
    <w:rsid w:val="00B63104"/>
    <w:rsid w:val="00B63312"/>
    <w:rsid w:val="00B634A5"/>
    <w:rsid w:val="00B63666"/>
    <w:rsid w:val="00B636A7"/>
    <w:rsid w:val="00B63A24"/>
    <w:rsid w:val="00B63DC7"/>
    <w:rsid w:val="00B63E39"/>
    <w:rsid w:val="00B642C7"/>
    <w:rsid w:val="00B644FE"/>
    <w:rsid w:val="00B64BD4"/>
    <w:rsid w:val="00B64D3F"/>
    <w:rsid w:val="00B657C8"/>
    <w:rsid w:val="00B658DA"/>
    <w:rsid w:val="00B659D4"/>
    <w:rsid w:val="00B65A28"/>
    <w:rsid w:val="00B65BEB"/>
    <w:rsid w:val="00B66413"/>
    <w:rsid w:val="00B6689C"/>
    <w:rsid w:val="00B66C70"/>
    <w:rsid w:val="00B675E9"/>
    <w:rsid w:val="00B67E4D"/>
    <w:rsid w:val="00B67EE7"/>
    <w:rsid w:val="00B710D3"/>
    <w:rsid w:val="00B71154"/>
    <w:rsid w:val="00B71ADE"/>
    <w:rsid w:val="00B71B88"/>
    <w:rsid w:val="00B72043"/>
    <w:rsid w:val="00B725D4"/>
    <w:rsid w:val="00B72DAB"/>
    <w:rsid w:val="00B72DFA"/>
    <w:rsid w:val="00B7379E"/>
    <w:rsid w:val="00B73CF5"/>
    <w:rsid w:val="00B73E55"/>
    <w:rsid w:val="00B741BB"/>
    <w:rsid w:val="00B7463B"/>
    <w:rsid w:val="00B746B8"/>
    <w:rsid w:val="00B7506B"/>
    <w:rsid w:val="00B75177"/>
    <w:rsid w:val="00B751C6"/>
    <w:rsid w:val="00B751EB"/>
    <w:rsid w:val="00B753A7"/>
    <w:rsid w:val="00B7571B"/>
    <w:rsid w:val="00B758BA"/>
    <w:rsid w:val="00B75A08"/>
    <w:rsid w:val="00B75BCF"/>
    <w:rsid w:val="00B75D08"/>
    <w:rsid w:val="00B75FAB"/>
    <w:rsid w:val="00B75FAC"/>
    <w:rsid w:val="00B76564"/>
    <w:rsid w:val="00B76631"/>
    <w:rsid w:val="00B7676A"/>
    <w:rsid w:val="00B768C0"/>
    <w:rsid w:val="00B77380"/>
    <w:rsid w:val="00B7754B"/>
    <w:rsid w:val="00B77CAD"/>
    <w:rsid w:val="00B77D7D"/>
    <w:rsid w:val="00B80008"/>
    <w:rsid w:val="00B8014D"/>
    <w:rsid w:val="00B8019B"/>
    <w:rsid w:val="00B8035B"/>
    <w:rsid w:val="00B803A0"/>
    <w:rsid w:val="00B803E4"/>
    <w:rsid w:val="00B808B3"/>
    <w:rsid w:val="00B80BB3"/>
    <w:rsid w:val="00B80C03"/>
    <w:rsid w:val="00B80CA1"/>
    <w:rsid w:val="00B80D23"/>
    <w:rsid w:val="00B81216"/>
    <w:rsid w:val="00B81263"/>
    <w:rsid w:val="00B812AA"/>
    <w:rsid w:val="00B8132E"/>
    <w:rsid w:val="00B81332"/>
    <w:rsid w:val="00B81358"/>
    <w:rsid w:val="00B814BF"/>
    <w:rsid w:val="00B817EA"/>
    <w:rsid w:val="00B8187C"/>
    <w:rsid w:val="00B819EE"/>
    <w:rsid w:val="00B81B9D"/>
    <w:rsid w:val="00B81D5A"/>
    <w:rsid w:val="00B81DF0"/>
    <w:rsid w:val="00B82743"/>
    <w:rsid w:val="00B82C61"/>
    <w:rsid w:val="00B82D0A"/>
    <w:rsid w:val="00B82E95"/>
    <w:rsid w:val="00B82F8B"/>
    <w:rsid w:val="00B83459"/>
    <w:rsid w:val="00B834A2"/>
    <w:rsid w:val="00B83A97"/>
    <w:rsid w:val="00B83AE0"/>
    <w:rsid w:val="00B83B2C"/>
    <w:rsid w:val="00B843F4"/>
    <w:rsid w:val="00B847E2"/>
    <w:rsid w:val="00B84F9C"/>
    <w:rsid w:val="00B850F4"/>
    <w:rsid w:val="00B85349"/>
    <w:rsid w:val="00B85B7B"/>
    <w:rsid w:val="00B85C0C"/>
    <w:rsid w:val="00B85DFD"/>
    <w:rsid w:val="00B85E2C"/>
    <w:rsid w:val="00B85F19"/>
    <w:rsid w:val="00B8681A"/>
    <w:rsid w:val="00B8706C"/>
    <w:rsid w:val="00B87317"/>
    <w:rsid w:val="00B873B7"/>
    <w:rsid w:val="00B874DF"/>
    <w:rsid w:val="00B87661"/>
    <w:rsid w:val="00B8772F"/>
    <w:rsid w:val="00B87AD8"/>
    <w:rsid w:val="00B87B40"/>
    <w:rsid w:val="00B87CBF"/>
    <w:rsid w:val="00B87D84"/>
    <w:rsid w:val="00B9049A"/>
    <w:rsid w:val="00B90834"/>
    <w:rsid w:val="00B908C2"/>
    <w:rsid w:val="00B90A14"/>
    <w:rsid w:val="00B90CD7"/>
    <w:rsid w:val="00B9106B"/>
    <w:rsid w:val="00B910E3"/>
    <w:rsid w:val="00B912A4"/>
    <w:rsid w:val="00B91B2A"/>
    <w:rsid w:val="00B91E4E"/>
    <w:rsid w:val="00B91F06"/>
    <w:rsid w:val="00B92057"/>
    <w:rsid w:val="00B92064"/>
    <w:rsid w:val="00B921F2"/>
    <w:rsid w:val="00B92207"/>
    <w:rsid w:val="00B9247B"/>
    <w:rsid w:val="00B925FD"/>
    <w:rsid w:val="00B927A7"/>
    <w:rsid w:val="00B92C0C"/>
    <w:rsid w:val="00B92CBA"/>
    <w:rsid w:val="00B92CE3"/>
    <w:rsid w:val="00B92D49"/>
    <w:rsid w:val="00B92FB4"/>
    <w:rsid w:val="00B930E9"/>
    <w:rsid w:val="00B93208"/>
    <w:rsid w:val="00B9389B"/>
    <w:rsid w:val="00B93A41"/>
    <w:rsid w:val="00B93A8F"/>
    <w:rsid w:val="00B93BF7"/>
    <w:rsid w:val="00B945B8"/>
    <w:rsid w:val="00B94612"/>
    <w:rsid w:val="00B94771"/>
    <w:rsid w:val="00B94B92"/>
    <w:rsid w:val="00B950AA"/>
    <w:rsid w:val="00B95373"/>
    <w:rsid w:val="00B95396"/>
    <w:rsid w:val="00B954DA"/>
    <w:rsid w:val="00B95528"/>
    <w:rsid w:val="00B955DA"/>
    <w:rsid w:val="00B956EB"/>
    <w:rsid w:val="00B95ED8"/>
    <w:rsid w:val="00B95F0F"/>
    <w:rsid w:val="00B96061"/>
    <w:rsid w:val="00B9606D"/>
    <w:rsid w:val="00B967A1"/>
    <w:rsid w:val="00B96AD8"/>
    <w:rsid w:val="00B96AE0"/>
    <w:rsid w:val="00B96B81"/>
    <w:rsid w:val="00B96BF0"/>
    <w:rsid w:val="00B96C4B"/>
    <w:rsid w:val="00B970F7"/>
    <w:rsid w:val="00B97312"/>
    <w:rsid w:val="00BA05E6"/>
    <w:rsid w:val="00BA0984"/>
    <w:rsid w:val="00BA0BC4"/>
    <w:rsid w:val="00BA0C86"/>
    <w:rsid w:val="00BA10C2"/>
    <w:rsid w:val="00BA1179"/>
    <w:rsid w:val="00BA1221"/>
    <w:rsid w:val="00BA14E5"/>
    <w:rsid w:val="00BA165A"/>
    <w:rsid w:val="00BA2096"/>
    <w:rsid w:val="00BA2112"/>
    <w:rsid w:val="00BA30AA"/>
    <w:rsid w:val="00BA31AD"/>
    <w:rsid w:val="00BA32E8"/>
    <w:rsid w:val="00BA387F"/>
    <w:rsid w:val="00BA3A0C"/>
    <w:rsid w:val="00BA3C17"/>
    <w:rsid w:val="00BA3DC9"/>
    <w:rsid w:val="00BA404E"/>
    <w:rsid w:val="00BA422C"/>
    <w:rsid w:val="00BA4251"/>
    <w:rsid w:val="00BA4670"/>
    <w:rsid w:val="00BA48EA"/>
    <w:rsid w:val="00BA497A"/>
    <w:rsid w:val="00BA49D8"/>
    <w:rsid w:val="00BA5348"/>
    <w:rsid w:val="00BA5397"/>
    <w:rsid w:val="00BA53BF"/>
    <w:rsid w:val="00BA585B"/>
    <w:rsid w:val="00BA58DD"/>
    <w:rsid w:val="00BA5937"/>
    <w:rsid w:val="00BA6093"/>
    <w:rsid w:val="00BA62B9"/>
    <w:rsid w:val="00BA63F1"/>
    <w:rsid w:val="00BA651C"/>
    <w:rsid w:val="00BA6581"/>
    <w:rsid w:val="00BA6A0A"/>
    <w:rsid w:val="00BA6CE3"/>
    <w:rsid w:val="00BA6DB7"/>
    <w:rsid w:val="00BA6DBA"/>
    <w:rsid w:val="00BA6EBF"/>
    <w:rsid w:val="00BA6FA2"/>
    <w:rsid w:val="00BA7203"/>
    <w:rsid w:val="00BA74DC"/>
    <w:rsid w:val="00BA7510"/>
    <w:rsid w:val="00BA76FD"/>
    <w:rsid w:val="00BA7ADA"/>
    <w:rsid w:val="00BA7BF4"/>
    <w:rsid w:val="00BB0066"/>
    <w:rsid w:val="00BB05C1"/>
    <w:rsid w:val="00BB09B9"/>
    <w:rsid w:val="00BB0EC6"/>
    <w:rsid w:val="00BB1100"/>
    <w:rsid w:val="00BB126A"/>
    <w:rsid w:val="00BB1315"/>
    <w:rsid w:val="00BB145E"/>
    <w:rsid w:val="00BB1A7A"/>
    <w:rsid w:val="00BB1C55"/>
    <w:rsid w:val="00BB24CC"/>
    <w:rsid w:val="00BB25B3"/>
    <w:rsid w:val="00BB29DA"/>
    <w:rsid w:val="00BB2C7E"/>
    <w:rsid w:val="00BB2D44"/>
    <w:rsid w:val="00BB2D4F"/>
    <w:rsid w:val="00BB2DB4"/>
    <w:rsid w:val="00BB2EC8"/>
    <w:rsid w:val="00BB327B"/>
    <w:rsid w:val="00BB3336"/>
    <w:rsid w:val="00BB3371"/>
    <w:rsid w:val="00BB33C8"/>
    <w:rsid w:val="00BB3400"/>
    <w:rsid w:val="00BB3785"/>
    <w:rsid w:val="00BB3994"/>
    <w:rsid w:val="00BB3B21"/>
    <w:rsid w:val="00BB3BED"/>
    <w:rsid w:val="00BB3C41"/>
    <w:rsid w:val="00BB3C59"/>
    <w:rsid w:val="00BB3D30"/>
    <w:rsid w:val="00BB41F7"/>
    <w:rsid w:val="00BB46E2"/>
    <w:rsid w:val="00BB4A31"/>
    <w:rsid w:val="00BB4CE9"/>
    <w:rsid w:val="00BB4DE2"/>
    <w:rsid w:val="00BB4F0D"/>
    <w:rsid w:val="00BB52BA"/>
    <w:rsid w:val="00BB59A1"/>
    <w:rsid w:val="00BB61F6"/>
    <w:rsid w:val="00BB6280"/>
    <w:rsid w:val="00BB643B"/>
    <w:rsid w:val="00BB643F"/>
    <w:rsid w:val="00BB647A"/>
    <w:rsid w:val="00BB6755"/>
    <w:rsid w:val="00BB680B"/>
    <w:rsid w:val="00BB68AD"/>
    <w:rsid w:val="00BB692D"/>
    <w:rsid w:val="00BB6C02"/>
    <w:rsid w:val="00BB6C52"/>
    <w:rsid w:val="00BB6F94"/>
    <w:rsid w:val="00BB71CD"/>
    <w:rsid w:val="00BB7399"/>
    <w:rsid w:val="00BB75BD"/>
    <w:rsid w:val="00BB76FC"/>
    <w:rsid w:val="00BB76FE"/>
    <w:rsid w:val="00BB7ECA"/>
    <w:rsid w:val="00BC01CD"/>
    <w:rsid w:val="00BC087C"/>
    <w:rsid w:val="00BC098D"/>
    <w:rsid w:val="00BC0B7E"/>
    <w:rsid w:val="00BC0F61"/>
    <w:rsid w:val="00BC1108"/>
    <w:rsid w:val="00BC11AC"/>
    <w:rsid w:val="00BC13DD"/>
    <w:rsid w:val="00BC1507"/>
    <w:rsid w:val="00BC160E"/>
    <w:rsid w:val="00BC1637"/>
    <w:rsid w:val="00BC2335"/>
    <w:rsid w:val="00BC2585"/>
    <w:rsid w:val="00BC2E2F"/>
    <w:rsid w:val="00BC31EB"/>
    <w:rsid w:val="00BC348C"/>
    <w:rsid w:val="00BC3817"/>
    <w:rsid w:val="00BC394B"/>
    <w:rsid w:val="00BC3B19"/>
    <w:rsid w:val="00BC3BD8"/>
    <w:rsid w:val="00BC3FC3"/>
    <w:rsid w:val="00BC47CF"/>
    <w:rsid w:val="00BC4802"/>
    <w:rsid w:val="00BC485B"/>
    <w:rsid w:val="00BC4BEC"/>
    <w:rsid w:val="00BC4C8B"/>
    <w:rsid w:val="00BC4E45"/>
    <w:rsid w:val="00BC4FA2"/>
    <w:rsid w:val="00BC51DF"/>
    <w:rsid w:val="00BC5515"/>
    <w:rsid w:val="00BC568C"/>
    <w:rsid w:val="00BC58A6"/>
    <w:rsid w:val="00BC59BF"/>
    <w:rsid w:val="00BC59F8"/>
    <w:rsid w:val="00BC5A28"/>
    <w:rsid w:val="00BC5CDA"/>
    <w:rsid w:val="00BC5EE1"/>
    <w:rsid w:val="00BC5F67"/>
    <w:rsid w:val="00BC615B"/>
    <w:rsid w:val="00BC6562"/>
    <w:rsid w:val="00BC6574"/>
    <w:rsid w:val="00BC693B"/>
    <w:rsid w:val="00BC6974"/>
    <w:rsid w:val="00BC6C5C"/>
    <w:rsid w:val="00BC6CB5"/>
    <w:rsid w:val="00BC6E3E"/>
    <w:rsid w:val="00BC6EBA"/>
    <w:rsid w:val="00BC6F53"/>
    <w:rsid w:val="00BC737F"/>
    <w:rsid w:val="00BC73C0"/>
    <w:rsid w:val="00BC77E8"/>
    <w:rsid w:val="00BC7B17"/>
    <w:rsid w:val="00BC7FA1"/>
    <w:rsid w:val="00BC7FEE"/>
    <w:rsid w:val="00BD0041"/>
    <w:rsid w:val="00BD0278"/>
    <w:rsid w:val="00BD0393"/>
    <w:rsid w:val="00BD0450"/>
    <w:rsid w:val="00BD06DE"/>
    <w:rsid w:val="00BD07D5"/>
    <w:rsid w:val="00BD0BB7"/>
    <w:rsid w:val="00BD18D4"/>
    <w:rsid w:val="00BD19AE"/>
    <w:rsid w:val="00BD1C07"/>
    <w:rsid w:val="00BD1C67"/>
    <w:rsid w:val="00BD1DF9"/>
    <w:rsid w:val="00BD22F0"/>
    <w:rsid w:val="00BD27B3"/>
    <w:rsid w:val="00BD2B74"/>
    <w:rsid w:val="00BD2D09"/>
    <w:rsid w:val="00BD2D93"/>
    <w:rsid w:val="00BD2DF8"/>
    <w:rsid w:val="00BD303D"/>
    <w:rsid w:val="00BD4138"/>
    <w:rsid w:val="00BD4276"/>
    <w:rsid w:val="00BD443F"/>
    <w:rsid w:val="00BD45FD"/>
    <w:rsid w:val="00BD490E"/>
    <w:rsid w:val="00BD4962"/>
    <w:rsid w:val="00BD4FE6"/>
    <w:rsid w:val="00BD4FE9"/>
    <w:rsid w:val="00BD51A3"/>
    <w:rsid w:val="00BD5560"/>
    <w:rsid w:val="00BD57F9"/>
    <w:rsid w:val="00BD594F"/>
    <w:rsid w:val="00BD5BD6"/>
    <w:rsid w:val="00BD5D1C"/>
    <w:rsid w:val="00BD5FEB"/>
    <w:rsid w:val="00BD6A18"/>
    <w:rsid w:val="00BD6E0C"/>
    <w:rsid w:val="00BD6F66"/>
    <w:rsid w:val="00BD71A6"/>
    <w:rsid w:val="00BD730A"/>
    <w:rsid w:val="00BD7368"/>
    <w:rsid w:val="00BD7516"/>
    <w:rsid w:val="00BD778B"/>
    <w:rsid w:val="00BD7AFE"/>
    <w:rsid w:val="00BE05F2"/>
    <w:rsid w:val="00BE069B"/>
    <w:rsid w:val="00BE0A4A"/>
    <w:rsid w:val="00BE0CB2"/>
    <w:rsid w:val="00BE0FD3"/>
    <w:rsid w:val="00BE13B9"/>
    <w:rsid w:val="00BE154A"/>
    <w:rsid w:val="00BE168B"/>
    <w:rsid w:val="00BE1720"/>
    <w:rsid w:val="00BE19EA"/>
    <w:rsid w:val="00BE1A01"/>
    <w:rsid w:val="00BE1B57"/>
    <w:rsid w:val="00BE1BF3"/>
    <w:rsid w:val="00BE1C7A"/>
    <w:rsid w:val="00BE1F26"/>
    <w:rsid w:val="00BE2800"/>
    <w:rsid w:val="00BE2BC8"/>
    <w:rsid w:val="00BE3488"/>
    <w:rsid w:val="00BE34EB"/>
    <w:rsid w:val="00BE37F1"/>
    <w:rsid w:val="00BE3925"/>
    <w:rsid w:val="00BE39F1"/>
    <w:rsid w:val="00BE3F9E"/>
    <w:rsid w:val="00BE41F4"/>
    <w:rsid w:val="00BE4411"/>
    <w:rsid w:val="00BE4991"/>
    <w:rsid w:val="00BE4A3E"/>
    <w:rsid w:val="00BE4A78"/>
    <w:rsid w:val="00BE5353"/>
    <w:rsid w:val="00BE5709"/>
    <w:rsid w:val="00BE578E"/>
    <w:rsid w:val="00BE57F7"/>
    <w:rsid w:val="00BE59F2"/>
    <w:rsid w:val="00BE5E47"/>
    <w:rsid w:val="00BE64E8"/>
    <w:rsid w:val="00BE68DE"/>
    <w:rsid w:val="00BE6CA2"/>
    <w:rsid w:val="00BE70C1"/>
    <w:rsid w:val="00BE745E"/>
    <w:rsid w:val="00BE75B9"/>
    <w:rsid w:val="00BE75EB"/>
    <w:rsid w:val="00BE790D"/>
    <w:rsid w:val="00BE7C11"/>
    <w:rsid w:val="00BE7F1A"/>
    <w:rsid w:val="00BE7F20"/>
    <w:rsid w:val="00BE7FE3"/>
    <w:rsid w:val="00BF027F"/>
    <w:rsid w:val="00BF02E6"/>
    <w:rsid w:val="00BF1082"/>
    <w:rsid w:val="00BF1126"/>
    <w:rsid w:val="00BF117B"/>
    <w:rsid w:val="00BF1268"/>
    <w:rsid w:val="00BF13F8"/>
    <w:rsid w:val="00BF1401"/>
    <w:rsid w:val="00BF15CD"/>
    <w:rsid w:val="00BF16C7"/>
    <w:rsid w:val="00BF17A1"/>
    <w:rsid w:val="00BF1A2B"/>
    <w:rsid w:val="00BF1D7C"/>
    <w:rsid w:val="00BF1FC4"/>
    <w:rsid w:val="00BF20EA"/>
    <w:rsid w:val="00BF2A82"/>
    <w:rsid w:val="00BF31D8"/>
    <w:rsid w:val="00BF5042"/>
    <w:rsid w:val="00BF5047"/>
    <w:rsid w:val="00BF528A"/>
    <w:rsid w:val="00BF530F"/>
    <w:rsid w:val="00BF59F9"/>
    <w:rsid w:val="00BF5AB1"/>
    <w:rsid w:val="00BF5E21"/>
    <w:rsid w:val="00BF61C3"/>
    <w:rsid w:val="00BF61C5"/>
    <w:rsid w:val="00BF6257"/>
    <w:rsid w:val="00BF62FB"/>
    <w:rsid w:val="00BF650D"/>
    <w:rsid w:val="00BF66E3"/>
    <w:rsid w:val="00BF6702"/>
    <w:rsid w:val="00BF6E6C"/>
    <w:rsid w:val="00BF7397"/>
    <w:rsid w:val="00BF7582"/>
    <w:rsid w:val="00BF78B4"/>
    <w:rsid w:val="00BF78DC"/>
    <w:rsid w:val="00C00394"/>
    <w:rsid w:val="00C004EC"/>
    <w:rsid w:val="00C0055F"/>
    <w:rsid w:val="00C009AF"/>
    <w:rsid w:val="00C00C60"/>
    <w:rsid w:val="00C01121"/>
    <w:rsid w:val="00C01379"/>
    <w:rsid w:val="00C018AF"/>
    <w:rsid w:val="00C01C2B"/>
    <w:rsid w:val="00C01CE5"/>
    <w:rsid w:val="00C01D5A"/>
    <w:rsid w:val="00C01FB1"/>
    <w:rsid w:val="00C027DF"/>
    <w:rsid w:val="00C02860"/>
    <w:rsid w:val="00C02B44"/>
    <w:rsid w:val="00C02FD6"/>
    <w:rsid w:val="00C0331F"/>
    <w:rsid w:val="00C039B8"/>
    <w:rsid w:val="00C03C8C"/>
    <w:rsid w:val="00C03DAF"/>
    <w:rsid w:val="00C03EB4"/>
    <w:rsid w:val="00C045FE"/>
    <w:rsid w:val="00C04CCC"/>
    <w:rsid w:val="00C05002"/>
    <w:rsid w:val="00C0571C"/>
    <w:rsid w:val="00C0586F"/>
    <w:rsid w:val="00C05CBA"/>
    <w:rsid w:val="00C06663"/>
    <w:rsid w:val="00C0684F"/>
    <w:rsid w:val="00C0693C"/>
    <w:rsid w:val="00C06A11"/>
    <w:rsid w:val="00C06F57"/>
    <w:rsid w:val="00C06F96"/>
    <w:rsid w:val="00C06F9E"/>
    <w:rsid w:val="00C07492"/>
    <w:rsid w:val="00C076C6"/>
    <w:rsid w:val="00C07785"/>
    <w:rsid w:val="00C077E3"/>
    <w:rsid w:val="00C078AF"/>
    <w:rsid w:val="00C07A37"/>
    <w:rsid w:val="00C07B01"/>
    <w:rsid w:val="00C07BD4"/>
    <w:rsid w:val="00C07C91"/>
    <w:rsid w:val="00C07FFA"/>
    <w:rsid w:val="00C101AE"/>
    <w:rsid w:val="00C10358"/>
    <w:rsid w:val="00C10890"/>
    <w:rsid w:val="00C109B7"/>
    <w:rsid w:val="00C10E37"/>
    <w:rsid w:val="00C11063"/>
    <w:rsid w:val="00C11377"/>
    <w:rsid w:val="00C1146C"/>
    <w:rsid w:val="00C1181F"/>
    <w:rsid w:val="00C11F56"/>
    <w:rsid w:val="00C1204A"/>
    <w:rsid w:val="00C122E7"/>
    <w:rsid w:val="00C12668"/>
    <w:rsid w:val="00C127AC"/>
    <w:rsid w:val="00C1314D"/>
    <w:rsid w:val="00C132EE"/>
    <w:rsid w:val="00C13317"/>
    <w:rsid w:val="00C13869"/>
    <w:rsid w:val="00C1396B"/>
    <w:rsid w:val="00C139AC"/>
    <w:rsid w:val="00C13A51"/>
    <w:rsid w:val="00C13DB8"/>
    <w:rsid w:val="00C143F0"/>
    <w:rsid w:val="00C14608"/>
    <w:rsid w:val="00C146DD"/>
    <w:rsid w:val="00C14730"/>
    <w:rsid w:val="00C14775"/>
    <w:rsid w:val="00C14782"/>
    <w:rsid w:val="00C14C29"/>
    <w:rsid w:val="00C14C5F"/>
    <w:rsid w:val="00C14C7D"/>
    <w:rsid w:val="00C15350"/>
    <w:rsid w:val="00C15578"/>
    <w:rsid w:val="00C155F3"/>
    <w:rsid w:val="00C15B4D"/>
    <w:rsid w:val="00C16459"/>
    <w:rsid w:val="00C1658A"/>
    <w:rsid w:val="00C168A0"/>
    <w:rsid w:val="00C16B2F"/>
    <w:rsid w:val="00C16D2B"/>
    <w:rsid w:val="00C16FBE"/>
    <w:rsid w:val="00C174F0"/>
    <w:rsid w:val="00C17510"/>
    <w:rsid w:val="00C1751F"/>
    <w:rsid w:val="00C17648"/>
    <w:rsid w:val="00C1796A"/>
    <w:rsid w:val="00C17ACB"/>
    <w:rsid w:val="00C17BD5"/>
    <w:rsid w:val="00C20277"/>
    <w:rsid w:val="00C20305"/>
    <w:rsid w:val="00C205E4"/>
    <w:rsid w:val="00C209F5"/>
    <w:rsid w:val="00C20B05"/>
    <w:rsid w:val="00C20B36"/>
    <w:rsid w:val="00C20F87"/>
    <w:rsid w:val="00C213F5"/>
    <w:rsid w:val="00C21735"/>
    <w:rsid w:val="00C21960"/>
    <w:rsid w:val="00C21CF3"/>
    <w:rsid w:val="00C21D2B"/>
    <w:rsid w:val="00C21D3D"/>
    <w:rsid w:val="00C21E3E"/>
    <w:rsid w:val="00C22171"/>
    <w:rsid w:val="00C22BCF"/>
    <w:rsid w:val="00C22DCD"/>
    <w:rsid w:val="00C22F35"/>
    <w:rsid w:val="00C23012"/>
    <w:rsid w:val="00C230FC"/>
    <w:rsid w:val="00C231CE"/>
    <w:rsid w:val="00C233EB"/>
    <w:rsid w:val="00C234A3"/>
    <w:rsid w:val="00C23773"/>
    <w:rsid w:val="00C23B83"/>
    <w:rsid w:val="00C241A7"/>
    <w:rsid w:val="00C24550"/>
    <w:rsid w:val="00C2468D"/>
    <w:rsid w:val="00C24922"/>
    <w:rsid w:val="00C24E7A"/>
    <w:rsid w:val="00C24ECD"/>
    <w:rsid w:val="00C25673"/>
    <w:rsid w:val="00C2587E"/>
    <w:rsid w:val="00C259E9"/>
    <w:rsid w:val="00C25BD1"/>
    <w:rsid w:val="00C25C15"/>
    <w:rsid w:val="00C25C20"/>
    <w:rsid w:val="00C25D53"/>
    <w:rsid w:val="00C25D77"/>
    <w:rsid w:val="00C25FF1"/>
    <w:rsid w:val="00C26572"/>
    <w:rsid w:val="00C26962"/>
    <w:rsid w:val="00C269A8"/>
    <w:rsid w:val="00C275F6"/>
    <w:rsid w:val="00C27830"/>
    <w:rsid w:val="00C2796C"/>
    <w:rsid w:val="00C27A8D"/>
    <w:rsid w:val="00C27D33"/>
    <w:rsid w:val="00C27E22"/>
    <w:rsid w:val="00C27EE3"/>
    <w:rsid w:val="00C301D9"/>
    <w:rsid w:val="00C30481"/>
    <w:rsid w:val="00C308A4"/>
    <w:rsid w:val="00C308CB"/>
    <w:rsid w:val="00C30930"/>
    <w:rsid w:val="00C30A07"/>
    <w:rsid w:val="00C30A37"/>
    <w:rsid w:val="00C30C04"/>
    <w:rsid w:val="00C30DBB"/>
    <w:rsid w:val="00C3116D"/>
    <w:rsid w:val="00C314CA"/>
    <w:rsid w:val="00C31CE0"/>
    <w:rsid w:val="00C31D3D"/>
    <w:rsid w:val="00C3220A"/>
    <w:rsid w:val="00C32238"/>
    <w:rsid w:val="00C3252D"/>
    <w:rsid w:val="00C32695"/>
    <w:rsid w:val="00C32AE8"/>
    <w:rsid w:val="00C32B48"/>
    <w:rsid w:val="00C32DD4"/>
    <w:rsid w:val="00C32E46"/>
    <w:rsid w:val="00C32EEE"/>
    <w:rsid w:val="00C330B4"/>
    <w:rsid w:val="00C3321C"/>
    <w:rsid w:val="00C335BE"/>
    <w:rsid w:val="00C336CC"/>
    <w:rsid w:val="00C337E7"/>
    <w:rsid w:val="00C33A93"/>
    <w:rsid w:val="00C342DF"/>
    <w:rsid w:val="00C346F9"/>
    <w:rsid w:val="00C34731"/>
    <w:rsid w:val="00C347DD"/>
    <w:rsid w:val="00C34B20"/>
    <w:rsid w:val="00C34CB5"/>
    <w:rsid w:val="00C34D90"/>
    <w:rsid w:val="00C3526F"/>
    <w:rsid w:val="00C353A3"/>
    <w:rsid w:val="00C355DD"/>
    <w:rsid w:val="00C357E1"/>
    <w:rsid w:val="00C35882"/>
    <w:rsid w:val="00C359D9"/>
    <w:rsid w:val="00C35B3F"/>
    <w:rsid w:val="00C35BBC"/>
    <w:rsid w:val="00C35DC8"/>
    <w:rsid w:val="00C35FB2"/>
    <w:rsid w:val="00C36014"/>
    <w:rsid w:val="00C36025"/>
    <w:rsid w:val="00C36364"/>
    <w:rsid w:val="00C363F0"/>
    <w:rsid w:val="00C369CE"/>
    <w:rsid w:val="00C36A4C"/>
    <w:rsid w:val="00C3789B"/>
    <w:rsid w:val="00C379FE"/>
    <w:rsid w:val="00C40065"/>
    <w:rsid w:val="00C40114"/>
    <w:rsid w:val="00C401E4"/>
    <w:rsid w:val="00C4034F"/>
    <w:rsid w:val="00C40429"/>
    <w:rsid w:val="00C408D1"/>
    <w:rsid w:val="00C41251"/>
    <w:rsid w:val="00C41528"/>
    <w:rsid w:val="00C416DC"/>
    <w:rsid w:val="00C417B2"/>
    <w:rsid w:val="00C41A8A"/>
    <w:rsid w:val="00C41B7B"/>
    <w:rsid w:val="00C41D52"/>
    <w:rsid w:val="00C42275"/>
    <w:rsid w:val="00C428B6"/>
    <w:rsid w:val="00C429B4"/>
    <w:rsid w:val="00C42C78"/>
    <w:rsid w:val="00C42E11"/>
    <w:rsid w:val="00C42F21"/>
    <w:rsid w:val="00C42FD6"/>
    <w:rsid w:val="00C433E2"/>
    <w:rsid w:val="00C43426"/>
    <w:rsid w:val="00C4390C"/>
    <w:rsid w:val="00C43926"/>
    <w:rsid w:val="00C43B09"/>
    <w:rsid w:val="00C43CF8"/>
    <w:rsid w:val="00C43DB5"/>
    <w:rsid w:val="00C4404F"/>
    <w:rsid w:val="00C44102"/>
    <w:rsid w:val="00C4424B"/>
    <w:rsid w:val="00C443F6"/>
    <w:rsid w:val="00C4448D"/>
    <w:rsid w:val="00C449C1"/>
    <w:rsid w:val="00C45302"/>
    <w:rsid w:val="00C455F3"/>
    <w:rsid w:val="00C45853"/>
    <w:rsid w:val="00C45A0E"/>
    <w:rsid w:val="00C45A12"/>
    <w:rsid w:val="00C45A19"/>
    <w:rsid w:val="00C45B73"/>
    <w:rsid w:val="00C460D1"/>
    <w:rsid w:val="00C46148"/>
    <w:rsid w:val="00C46788"/>
    <w:rsid w:val="00C46A7E"/>
    <w:rsid w:val="00C46CFE"/>
    <w:rsid w:val="00C46F4D"/>
    <w:rsid w:val="00C477BA"/>
    <w:rsid w:val="00C47C78"/>
    <w:rsid w:val="00C47E2F"/>
    <w:rsid w:val="00C50029"/>
    <w:rsid w:val="00C50037"/>
    <w:rsid w:val="00C50A95"/>
    <w:rsid w:val="00C50AF2"/>
    <w:rsid w:val="00C50B6E"/>
    <w:rsid w:val="00C50DCF"/>
    <w:rsid w:val="00C514B8"/>
    <w:rsid w:val="00C51518"/>
    <w:rsid w:val="00C5160B"/>
    <w:rsid w:val="00C516F5"/>
    <w:rsid w:val="00C516F7"/>
    <w:rsid w:val="00C517A3"/>
    <w:rsid w:val="00C5190A"/>
    <w:rsid w:val="00C51B81"/>
    <w:rsid w:val="00C51DBD"/>
    <w:rsid w:val="00C51E4F"/>
    <w:rsid w:val="00C51EBE"/>
    <w:rsid w:val="00C51F68"/>
    <w:rsid w:val="00C5203E"/>
    <w:rsid w:val="00C52176"/>
    <w:rsid w:val="00C522EF"/>
    <w:rsid w:val="00C52A21"/>
    <w:rsid w:val="00C52B68"/>
    <w:rsid w:val="00C52BB5"/>
    <w:rsid w:val="00C52EF6"/>
    <w:rsid w:val="00C52FB5"/>
    <w:rsid w:val="00C53176"/>
    <w:rsid w:val="00C53419"/>
    <w:rsid w:val="00C534B2"/>
    <w:rsid w:val="00C535F8"/>
    <w:rsid w:val="00C53653"/>
    <w:rsid w:val="00C53772"/>
    <w:rsid w:val="00C53886"/>
    <w:rsid w:val="00C53C43"/>
    <w:rsid w:val="00C53F78"/>
    <w:rsid w:val="00C54038"/>
    <w:rsid w:val="00C542A8"/>
    <w:rsid w:val="00C54777"/>
    <w:rsid w:val="00C547E8"/>
    <w:rsid w:val="00C5487D"/>
    <w:rsid w:val="00C54A12"/>
    <w:rsid w:val="00C54D8A"/>
    <w:rsid w:val="00C54DE4"/>
    <w:rsid w:val="00C54ED5"/>
    <w:rsid w:val="00C55222"/>
    <w:rsid w:val="00C55567"/>
    <w:rsid w:val="00C5598A"/>
    <w:rsid w:val="00C55A59"/>
    <w:rsid w:val="00C560D1"/>
    <w:rsid w:val="00C56398"/>
    <w:rsid w:val="00C565E5"/>
    <w:rsid w:val="00C5662B"/>
    <w:rsid w:val="00C56E56"/>
    <w:rsid w:val="00C57339"/>
    <w:rsid w:val="00C573B8"/>
    <w:rsid w:val="00C573C8"/>
    <w:rsid w:val="00C5743B"/>
    <w:rsid w:val="00C576BC"/>
    <w:rsid w:val="00C5780B"/>
    <w:rsid w:val="00C578A9"/>
    <w:rsid w:val="00C57CD9"/>
    <w:rsid w:val="00C57DC3"/>
    <w:rsid w:val="00C602D1"/>
    <w:rsid w:val="00C605C1"/>
    <w:rsid w:val="00C6065F"/>
    <w:rsid w:val="00C6081B"/>
    <w:rsid w:val="00C60BBB"/>
    <w:rsid w:val="00C60E40"/>
    <w:rsid w:val="00C60F2A"/>
    <w:rsid w:val="00C617AC"/>
    <w:rsid w:val="00C618AD"/>
    <w:rsid w:val="00C619B0"/>
    <w:rsid w:val="00C61F49"/>
    <w:rsid w:val="00C61FD9"/>
    <w:rsid w:val="00C62252"/>
    <w:rsid w:val="00C6233D"/>
    <w:rsid w:val="00C626C4"/>
    <w:rsid w:val="00C62713"/>
    <w:rsid w:val="00C627D3"/>
    <w:rsid w:val="00C62A8C"/>
    <w:rsid w:val="00C63007"/>
    <w:rsid w:val="00C631E0"/>
    <w:rsid w:val="00C63238"/>
    <w:rsid w:val="00C6396B"/>
    <w:rsid w:val="00C646DD"/>
    <w:rsid w:val="00C64835"/>
    <w:rsid w:val="00C6485A"/>
    <w:rsid w:val="00C64C4D"/>
    <w:rsid w:val="00C64C53"/>
    <w:rsid w:val="00C64D39"/>
    <w:rsid w:val="00C64DBE"/>
    <w:rsid w:val="00C65231"/>
    <w:rsid w:val="00C65374"/>
    <w:rsid w:val="00C655B6"/>
    <w:rsid w:val="00C65673"/>
    <w:rsid w:val="00C659DF"/>
    <w:rsid w:val="00C65C0E"/>
    <w:rsid w:val="00C65F6A"/>
    <w:rsid w:val="00C65F9D"/>
    <w:rsid w:val="00C65FE2"/>
    <w:rsid w:val="00C66193"/>
    <w:rsid w:val="00C664FF"/>
    <w:rsid w:val="00C66597"/>
    <w:rsid w:val="00C67195"/>
    <w:rsid w:val="00C6776E"/>
    <w:rsid w:val="00C678C6"/>
    <w:rsid w:val="00C67AD1"/>
    <w:rsid w:val="00C67BD4"/>
    <w:rsid w:val="00C67DDF"/>
    <w:rsid w:val="00C67DE5"/>
    <w:rsid w:val="00C700CB"/>
    <w:rsid w:val="00C7036E"/>
    <w:rsid w:val="00C703FF"/>
    <w:rsid w:val="00C70AD6"/>
    <w:rsid w:val="00C70ADC"/>
    <w:rsid w:val="00C70C8A"/>
    <w:rsid w:val="00C70D46"/>
    <w:rsid w:val="00C71146"/>
    <w:rsid w:val="00C715FD"/>
    <w:rsid w:val="00C71AE0"/>
    <w:rsid w:val="00C71AFE"/>
    <w:rsid w:val="00C72374"/>
    <w:rsid w:val="00C72583"/>
    <w:rsid w:val="00C726DB"/>
    <w:rsid w:val="00C72731"/>
    <w:rsid w:val="00C72DE7"/>
    <w:rsid w:val="00C73047"/>
    <w:rsid w:val="00C731C5"/>
    <w:rsid w:val="00C738B1"/>
    <w:rsid w:val="00C73E65"/>
    <w:rsid w:val="00C73EAD"/>
    <w:rsid w:val="00C744F6"/>
    <w:rsid w:val="00C746FE"/>
    <w:rsid w:val="00C74937"/>
    <w:rsid w:val="00C74DB9"/>
    <w:rsid w:val="00C74DC1"/>
    <w:rsid w:val="00C74E07"/>
    <w:rsid w:val="00C74ECD"/>
    <w:rsid w:val="00C7501B"/>
    <w:rsid w:val="00C75146"/>
    <w:rsid w:val="00C7515E"/>
    <w:rsid w:val="00C754F2"/>
    <w:rsid w:val="00C757A1"/>
    <w:rsid w:val="00C757E3"/>
    <w:rsid w:val="00C75C6D"/>
    <w:rsid w:val="00C75F0C"/>
    <w:rsid w:val="00C75F11"/>
    <w:rsid w:val="00C75FC3"/>
    <w:rsid w:val="00C76A8D"/>
    <w:rsid w:val="00C76E95"/>
    <w:rsid w:val="00C76F4D"/>
    <w:rsid w:val="00C77350"/>
    <w:rsid w:val="00C77533"/>
    <w:rsid w:val="00C775E2"/>
    <w:rsid w:val="00C7796D"/>
    <w:rsid w:val="00C77B5E"/>
    <w:rsid w:val="00C801DA"/>
    <w:rsid w:val="00C80485"/>
    <w:rsid w:val="00C807CC"/>
    <w:rsid w:val="00C80A1C"/>
    <w:rsid w:val="00C80D38"/>
    <w:rsid w:val="00C81048"/>
    <w:rsid w:val="00C81368"/>
    <w:rsid w:val="00C82270"/>
    <w:rsid w:val="00C83104"/>
    <w:rsid w:val="00C831E1"/>
    <w:rsid w:val="00C83760"/>
    <w:rsid w:val="00C83C69"/>
    <w:rsid w:val="00C840E5"/>
    <w:rsid w:val="00C841DC"/>
    <w:rsid w:val="00C8445B"/>
    <w:rsid w:val="00C8447C"/>
    <w:rsid w:val="00C845B1"/>
    <w:rsid w:val="00C84CE0"/>
    <w:rsid w:val="00C8557F"/>
    <w:rsid w:val="00C8568D"/>
    <w:rsid w:val="00C85F76"/>
    <w:rsid w:val="00C8604B"/>
    <w:rsid w:val="00C8618D"/>
    <w:rsid w:val="00C8621F"/>
    <w:rsid w:val="00C86302"/>
    <w:rsid w:val="00C865AB"/>
    <w:rsid w:val="00C865B7"/>
    <w:rsid w:val="00C8695C"/>
    <w:rsid w:val="00C86F41"/>
    <w:rsid w:val="00C874B4"/>
    <w:rsid w:val="00C8775B"/>
    <w:rsid w:val="00C87E99"/>
    <w:rsid w:val="00C87FB7"/>
    <w:rsid w:val="00C90276"/>
    <w:rsid w:val="00C902C0"/>
    <w:rsid w:val="00C909A2"/>
    <w:rsid w:val="00C90B29"/>
    <w:rsid w:val="00C90C6E"/>
    <w:rsid w:val="00C912C2"/>
    <w:rsid w:val="00C91480"/>
    <w:rsid w:val="00C91890"/>
    <w:rsid w:val="00C9198D"/>
    <w:rsid w:val="00C91B65"/>
    <w:rsid w:val="00C91E3C"/>
    <w:rsid w:val="00C9226A"/>
    <w:rsid w:val="00C92369"/>
    <w:rsid w:val="00C92A9B"/>
    <w:rsid w:val="00C92C50"/>
    <w:rsid w:val="00C92F20"/>
    <w:rsid w:val="00C9331F"/>
    <w:rsid w:val="00C9358B"/>
    <w:rsid w:val="00C93A91"/>
    <w:rsid w:val="00C93E42"/>
    <w:rsid w:val="00C940FC"/>
    <w:rsid w:val="00C94316"/>
    <w:rsid w:val="00C9437C"/>
    <w:rsid w:val="00C94784"/>
    <w:rsid w:val="00C94ADA"/>
    <w:rsid w:val="00C94C83"/>
    <w:rsid w:val="00C94E00"/>
    <w:rsid w:val="00C94FE7"/>
    <w:rsid w:val="00C953BD"/>
    <w:rsid w:val="00C9546E"/>
    <w:rsid w:val="00C964D5"/>
    <w:rsid w:val="00C965EF"/>
    <w:rsid w:val="00C96ACD"/>
    <w:rsid w:val="00C9714E"/>
    <w:rsid w:val="00C97372"/>
    <w:rsid w:val="00C974C5"/>
    <w:rsid w:val="00C97764"/>
    <w:rsid w:val="00C978D0"/>
    <w:rsid w:val="00C97E03"/>
    <w:rsid w:val="00CA030D"/>
    <w:rsid w:val="00CA04D9"/>
    <w:rsid w:val="00CA0A78"/>
    <w:rsid w:val="00CA11AC"/>
    <w:rsid w:val="00CA1259"/>
    <w:rsid w:val="00CA1CBE"/>
    <w:rsid w:val="00CA24B9"/>
    <w:rsid w:val="00CA24ED"/>
    <w:rsid w:val="00CA25BB"/>
    <w:rsid w:val="00CA25CE"/>
    <w:rsid w:val="00CA26D0"/>
    <w:rsid w:val="00CA2800"/>
    <w:rsid w:val="00CA2AB0"/>
    <w:rsid w:val="00CA315B"/>
    <w:rsid w:val="00CA344E"/>
    <w:rsid w:val="00CA3C24"/>
    <w:rsid w:val="00CA43C2"/>
    <w:rsid w:val="00CA48E6"/>
    <w:rsid w:val="00CA4AB9"/>
    <w:rsid w:val="00CA5682"/>
    <w:rsid w:val="00CA56CA"/>
    <w:rsid w:val="00CA58EF"/>
    <w:rsid w:val="00CA5AD1"/>
    <w:rsid w:val="00CA5D06"/>
    <w:rsid w:val="00CA5D20"/>
    <w:rsid w:val="00CA5EBE"/>
    <w:rsid w:val="00CA5EF0"/>
    <w:rsid w:val="00CA5F04"/>
    <w:rsid w:val="00CA6263"/>
    <w:rsid w:val="00CA691D"/>
    <w:rsid w:val="00CA6B24"/>
    <w:rsid w:val="00CA6CE6"/>
    <w:rsid w:val="00CA6E5C"/>
    <w:rsid w:val="00CA701C"/>
    <w:rsid w:val="00CA7143"/>
    <w:rsid w:val="00CA7160"/>
    <w:rsid w:val="00CA7253"/>
    <w:rsid w:val="00CA73FF"/>
    <w:rsid w:val="00CA744B"/>
    <w:rsid w:val="00CA768E"/>
    <w:rsid w:val="00CA791F"/>
    <w:rsid w:val="00CA7AC8"/>
    <w:rsid w:val="00CA7D79"/>
    <w:rsid w:val="00CB00F1"/>
    <w:rsid w:val="00CB0531"/>
    <w:rsid w:val="00CB0A67"/>
    <w:rsid w:val="00CB0D81"/>
    <w:rsid w:val="00CB0DA5"/>
    <w:rsid w:val="00CB1018"/>
    <w:rsid w:val="00CB1121"/>
    <w:rsid w:val="00CB14E8"/>
    <w:rsid w:val="00CB174A"/>
    <w:rsid w:val="00CB1895"/>
    <w:rsid w:val="00CB20F4"/>
    <w:rsid w:val="00CB234F"/>
    <w:rsid w:val="00CB2607"/>
    <w:rsid w:val="00CB2778"/>
    <w:rsid w:val="00CB2ADF"/>
    <w:rsid w:val="00CB2B34"/>
    <w:rsid w:val="00CB36C0"/>
    <w:rsid w:val="00CB3F26"/>
    <w:rsid w:val="00CB40CF"/>
    <w:rsid w:val="00CB4726"/>
    <w:rsid w:val="00CB474F"/>
    <w:rsid w:val="00CB4A7D"/>
    <w:rsid w:val="00CB4CA8"/>
    <w:rsid w:val="00CB4D1B"/>
    <w:rsid w:val="00CB5049"/>
    <w:rsid w:val="00CB512C"/>
    <w:rsid w:val="00CB5B15"/>
    <w:rsid w:val="00CB5B75"/>
    <w:rsid w:val="00CB5CCA"/>
    <w:rsid w:val="00CB5DB5"/>
    <w:rsid w:val="00CB5FE2"/>
    <w:rsid w:val="00CB638A"/>
    <w:rsid w:val="00CB644C"/>
    <w:rsid w:val="00CB64BA"/>
    <w:rsid w:val="00CB673A"/>
    <w:rsid w:val="00CB6853"/>
    <w:rsid w:val="00CB6ADC"/>
    <w:rsid w:val="00CB6C03"/>
    <w:rsid w:val="00CB6C36"/>
    <w:rsid w:val="00CB6C76"/>
    <w:rsid w:val="00CB6ED6"/>
    <w:rsid w:val="00CB70BD"/>
    <w:rsid w:val="00CB7632"/>
    <w:rsid w:val="00CB7704"/>
    <w:rsid w:val="00CB798A"/>
    <w:rsid w:val="00CB7B4C"/>
    <w:rsid w:val="00CB7BA9"/>
    <w:rsid w:val="00CC015C"/>
    <w:rsid w:val="00CC05C1"/>
    <w:rsid w:val="00CC11B8"/>
    <w:rsid w:val="00CC1595"/>
    <w:rsid w:val="00CC15A0"/>
    <w:rsid w:val="00CC17C7"/>
    <w:rsid w:val="00CC1A42"/>
    <w:rsid w:val="00CC1B98"/>
    <w:rsid w:val="00CC1F63"/>
    <w:rsid w:val="00CC1FEB"/>
    <w:rsid w:val="00CC278E"/>
    <w:rsid w:val="00CC2A0F"/>
    <w:rsid w:val="00CC33BF"/>
    <w:rsid w:val="00CC3512"/>
    <w:rsid w:val="00CC3630"/>
    <w:rsid w:val="00CC37C7"/>
    <w:rsid w:val="00CC38FC"/>
    <w:rsid w:val="00CC3DFF"/>
    <w:rsid w:val="00CC3F62"/>
    <w:rsid w:val="00CC3F73"/>
    <w:rsid w:val="00CC45A2"/>
    <w:rsid w:val="00CC46D5"/>
    <w:rsid w:val="00CC47CF"/>
    <w:rsid w:val="00CC48B3"/>
    <w:rsid w:val="00CC4AB0"/>
    <w:rsid w:val="00CC4C51"/>
    <w:rsid w:val="00CC4D3B"/>
    <w:rsid w:val="00CC4DD2"/>
    <w:rsid w:val="00CC4E63"/>
    <w:rsid w:val="00CC4FC0"/>
    <w:rsid w:val="00CC5249"/>
    <w:rsid w:val="00CC535A"/>
    <w:rsid w:val="00CC53B2"/>
    <w:rsid w:val="00CC5C72"/>
    <w:rsid w:val="00CC5ED2"/>
    <w:rsid w:val="00CC63BC"/>
    <w:rsid w:val="00CC64C4"/>
    <w:rsid w:val="00CC66BA"/>
    <w:rsid w:val="00CC6E58"/>
    <w:rsid w:val="00CC6F36"/>
    <w:rsid w:val="00CC6FC3"/>
    <w:rsid w:val="00CC7033"/>
    <w:rsid w:val="00CC7379"/>
    <w:rsid w:val="00CC7390"/>
    <w:rsid w:val="00CC7EFC"/>
    <w:rsid w:val="00CD01B4"/>
    <w:rsid w:val="00CD081C"/>
    <w:rsid w:val="00CD08BB"/>
    <w:rsid w:val="00CD0CD0"/>
    <w:rsid w:val="00CD0DC7"/>
    <w:rsid w:val="00CD1029"/>
    <w:rsid w:val="00CD10CE"/>
    <w:rsid w:val="00CD13D3"/>
    <w:rsid w:val="00CD152D"/>
    <w:rsid w:val="00CD15E9"/>
    <w:rsid w:val="00CD1725"/>
    <w:rsid w:val="00CD1A9D"/>
    <w:rsid w:val="00CD1C7E"/>
    <w:rsid w:val="00CD1F3B"/>
    <w:rsid w:val="00CD2165"/>
    <w:rsid w:val="00CD2351"/>
    <w:rsid w:val="00CD252E"/>
    <w:rsid w:val="00CD2597"/>
    <w:rsid w:val="00CD2683"/>
    <w:rsid w:val="00CD2B7E"/>
    <w:rsid w:val="00CD2F0E"/>
    <w:rsid w:val="00CD39BD"/>
    <w:rsid w:val="00CD3C0B"/>
    <w:rsid w:val="00CD3DCA"/>
    <w:rsid w:val="00CD3FB4"/>
    <w:rsid w:val="00CD414B"/>
    <w:rsid w:val="00CD4703"/>
    <w:rsid w:val="00CD48A8"/>
    <w:rsid w:val="00CD4FA2"/>
    <w:rsid w:val="00CD5053"/>
    <w:rsid w:val="00CD5187"/>
    <w:rsid w:val="00CD5195"/>
    <w:rsid w:val="00CD52D4"/>
    <w:rsid w:val="00CD53FE"/>
    <w:rsid w:val="00CD546E"/>
    <w:rsid w:val="00CD580F"/>
    <w:rsid w:val="00CD58B4"/>
    <w:rsid w:val="00CD5977"/>
    <w:rsid w:val="00CD5B26"/>
    <w:rsid w:val="00CD5ECE"/>
    <w:rsid w:val="00CD601C"/>
    <w:rsid w:val="00CD606A"/>
    <w:rsid w:val="00CD60A6"/>
    <w:rsid w:val="00CD63AB"/>
    <w:rsid w:val="00CD679E"/>
    <w:rsid w:val="00CD6836"/>
    <w:rsid w:val="00CD6BE2"/>
    <w:rsid w:val="00CD7237"/>
    <w:rsid w:val="00CD7584"/>
    <w:rsid w:val="00CD76ED"/>
    <w:rsid w:val="00CD7998"/>
    <w:rsid w:val="00CD7E55"/>
    <w:rsid w:val="00CE0319"/>
    <w:rsid w:val="00CE03F1"/>
    <w:rsid w:val="00CE09D7"/>
    <w:rsid w:val="00CE0C87"/>
    <w:rsid w:val="00CE0DB4"/>
    <w:rsid w:val="00CE1F77"/>
    <w:rsid w:val="00CE217A"/>
    <w:rsid w:val="00CE21E6"/>
    <w:rsid w:val="00CE21ED"/>
    <w:rsid w:val="00CE27D1"/>
    <w:rsid w:val="00CE282B"/>
    <w:rsid w:val="00CE2B59"/>
    <w:rsid w:val="00CE2C7F"/>
    <w:rsid w:val="00CE2CFD"/>
    <w:rsid w:val="00CE2ECA"/>
    <w:rsid w:val="00CE32FF"/>
    <w:rsid w:val="00CE36F0"/>
    <w:rsid w:val="00CE388A"/>
    <w:rsid w:val="00CE3DF8"/>
    <w:rsid w:val="00CE400B"/>
    <w:rsid w:val="00CE43B2"/>
    <w:rsid w:val="00CE46BD"/>
    <w:rsid w:val="00CE4744"/>
    <w:rsid w:val="00CE4D88"/>
    <w:rsid w:val="00CE4EA1"/>
    <w:rsid w:val="00CE5422"/>
    <w:rsid w:val="00CE599A"/>
    <w:rsid w:val="00CE5A13"/>
    <w:rsid w:val="00CE5C73"/>
    <w:rsid w:val="00CE62CE"/>
    <w:rsid w:val="00CE6523"/>
    <w:rsid w:val="00CE7299"/>
    <w:rsid w:val="00CE72D2"/>
    <w:rsid w:val="00CE77CF"/>
    <w:rsid w:val="00CE796F"/>
    <w:rsid w:val="00CE7DB8"/>
    <w:rsid w:val="00CE7E2C"/>
    <w:rsid w:val="00CF01B0"/>
    <w:rsid w:val="00CF0490"/>
    <w:rsid w:val="00CF04E2"/>
    <w:rsid w:val="00CF06A5"/>
    <w:rsid w:val="00CF0735"/>
    <w:rsid w:val="00CF0C42"/>
    <w:rsid w:val="00CF0F6B"/>
    <w:rsid w:val="00CF129C"/>
    <w:rsid w:val="00CF16C4"/>
    <w:rsid w:val="00CF21B8"/>
    <w:rsid w:val="00CF229B"/>
    <w:rsid w:val="00CF25B7"/>
    <w:rsid w:val="00CF2F20"/>
    <w:rsid w:val="00CF302E"/>
    <w:rsid w:val="00CF30D9"/>
    <w:rsid w:val="00CF32AD"/>
    <w:rsid w:val="00CF3390"/>
    <w:rsid w:val="00CF3481"/>
    <w:rsid w:val="00CF3596"/>
    <w:rsid w:val="00CF37CC"/>
    <w:rsid w:val="00CF4140"/>
    <w:rsid w:val="00CF417E"/>
    <w:rsid w:val="00CF45A9"/>
    <w:rsid w:val="00CF45BA"/>
    <w:rsid w:val="00CF4833"/>
    <w:rsid w:val="00CF4C85"/>
    <w:rsid w:val="00CF4CAF"/>
    <w:rsid w:val="00CF4EBF"/>
    <w:rsid w:val="00CF5278"/>
    <w:rsid w:val="00CF58B2"/>
    <w:rsid w:val="00CF5B11"/>
    <w:rsid w:val="00CF60EC"/>
    <w:rsid w:val="00CF6679"/>
    <w:rsid w:val="00CF6921"/>
    <w:rsid w:val="00CF743B"/>
    <w:rsid w:val="00CF7702"/>
    <w:rsid w:val="00CF7B4B"/>
    <w:rsid w:val="00D00102"/>
    <w:rsid w:val="00D00155"/>
    <w:rsid w:val="00D0078A"/>
    <w:rsid w:val="00D0096A"/>
    <w:rsid w:val="00D00BE5"/>
    <w:rsid w:val="00D00C6A"/>
    <w:rsid w:val="00D01029"/>
    <w:rsid w:val="00D01510"/>
    <w:rsid w:val="00D015F8"/>
    <w:rsid w:val="00D01BA6"/>
    <w:rsid w:val="00D01E18"/>
    <w:rsid w:val="00D0221D"/>
    <w:rsid w:val="00D023BD"/>
    <w:rsid w:val="00D02DAB"/>
    <w:rsid w:val="00D034DF"/>
    <w:rsid w:val="00D03730"/>
    <w:rsid w:val="00D03745"/>
    <w:rsid w:val="00D03E33"/>
    <w:rsid w:val="00D04026"/>
    <w:rsid w:val="00D04349"/>
    <w:rsid w:val="00D04900"/>
    <w:rsid w:val="00D04B6C"/>
    <w:rsid w:val="00D04C20"/>
    <w:rsid w:val="00D04D61"/>
    <w:rsid w:val="00D04F48"/>
    <w:rsid w:val="00D0500A"/>
    <w:rsid w:val="00D0525A"/>
    <w:rsid w:val="00D0577A"/>
    <w:rsid w:val="00D0585A"/>
    <w:rsid w:val="00D05C9C"/>
    <w:rsid w:val="00D05D0E"/>
    <w:rsid w:val="00D05E22"/>
    <w:rsid w:val="00D05EBA"/>
    <w:rsid w:val="00D0609B"/>
    <w:rsid w:val="00D06182"/>
    <w:rsid w:val="00D0646F"/>
    <w:rsid w:val="00D065F7"/>
    <w:rsid w:val="00D06666"/>
    <w:rsid w:val="00D06956"/>
    <w:rsid w:val="00D06C33"/>
    <w:rsid w:val="00D06E69"/>
    <w:rsid w:val="00D071FF"/>
    <w:rsid w:val="00D0753C"/>
    <w:rsid w:val="00D075B0"/>
    <w:rsid w:val="00D079CB"/>
    <w:rsid w:val="00D07F13"/>
    <w:rsid w:val="00D101D3"/>
    <w:rsid w:val="00D10787"/>
    <w:rsid w:val="00D107CE"/>
    <w:rsid w:val="00D1094C"/>
    <w:rsid w:val="00D10A54"/>
    <w:rsid w:val="00D10B77"/>
    <w:rsid w:val="00D10BB4"/>
    <w:rsid w:val="00D10EE6"/>
    <w:rsid w:val="00D1107D"/>
    <w:rsid w:val="00D11299"/>
    <w:rsid w:val="00D11617"/>
    <w:rsid w:val="00D1189D"/>
    <w:rsid w:val="00D11978"/>
    <w:rsid w:val="00D11A61"/>
    <w:rsid w:val="00D11CE7"/>
    <w:rsid w:val="00D122B8"/>
    <w:rsid w:val="00D125E1"/>
    <w:rsid w:val="00D12864"/>
    <w:rsid w:val="00D12935"/>
    <w:rsid w:val="00D12D04"/>
    <w:rsid w:val="00D13033"/>
    <w:rsid w:val="00D13131"/>
    <w:rsid w:val="00D1319E"/>
    <w:rsid w:val="00D13439"/>
    <w:rsid w:val="00D1353D"/>
    <w:rsid w:val="00D13827"/>
    <w:rsid w:val="00D139BF"/>
    <w:rsid w:val="00D14109"/>
    <w:rsid w:val="00D142F5"/>
    <w:rsid w:val="00D14480"/>
    <w:rsid w:val="00D14571"/>
    <w:rsid w:val="00D149D8"/>
    <w:rsid w:val="00D14B01"/>
    <w:rsid w:val="00D14B11"/>
    <w:rsid w:val="00D159FD"/>
    <w:rsid w:val="00D15A36"/>
    <w:rsid w:val="00D15C2A"/>
    <w:rsid w:val="00D15D71"/>
    <w:rsid w:val="00D15DA0"/>
    <w:rsid w:val="00D16054"/>
    <w:rsid w:val="00D160E0"/>
    <w:rsid w:val="00D16247"/>
    <w:rsid w:val="00D1642C"/>
    <w:rsid w:val="00D1648D"/>
    <w:rsid w:val="00D1674F"/>
    <w:rsid w:val="00D16A48"/>
    <w:rsid w:val="00D16ECE"/>
    <w:rsid w:val="00D16ED3"/>
    <w:rsid w:val="00D170F0"/>
    <w:rsid w:val="00D17484"/>
    <w:rsid w:val="00D1777E"/>
    <w:rsid w:val="00D17A0B"/>
    <w:rsid w:val="00D17B95"/>
    <w:rsid w:val="00D17E77"/>
    <w:rsid w:val="00D20172"/>
    <w:rsid w:val="00D20626"/>
    <w:rsid w:val="00D20979"/>
    <w:rsid w:val="00D20B6B"/>
    <w:rsid w:val="00D20E10"/>
    <w:rsid w:val="00D21478"/>
    <w:rsid w:val="00D21492"/>
    <w:rsid w:val="00D216A7"/>
    <w:rsid w:val="00D2194F"/>
    <w:rsid w:val="00D21B88"/>
    <w:rsid w:val="00D21DD4"/>
    <w:rsid w:val="00D2217C"/>
    <w:rsid w:val="00D222B2"/>
    <w:rsid w:val="00D2293D"/>
    <w:rsid w:val="00D22F16"/>
    <w:rsid w:val="00D23249"/>
    <w:rsid w:val="00D235E6"/>
    <w:rsid w:val="00D236E0"/>
    <w:rsid w:val="00D237BB"/>
    <w:rsid w:val="00D2385D"/>
    <w:rsid w:val="00D23BF4"/>
    <w:rsid w:val="00D23EA4"/>
    <w:rsid w:val="00D23ECC"/>
    <w:rsid w:val="00D24402"/>
    <w:rsid w:val="00D245A3"/>
    <w:rsid w:val="00D24AC8"/>
    <w:rsid w:val="00D24E3A"/>
    <w:rsid w:val="00D25123"/>
    <w:rsid w:val="00D25231"/>
    <w:rsid w:val="00D254A1"/>
    <w:rsid w:val="00D25ABE"/>
    <w:rsid w:val="00D25F0E"/>
    <w:rsid w:val="00D260AC"/>
    <w:rsid w:val="00D264BB"/>
    <w:rsid w:val="00D26BCF"/>
    <w:rsid w:val="00D26D9C"/>
    <w:rsid w:val="00D27504"/>
    <w:rsid w:val="00D2789A"/>
    <w:rsid w:val="00D302CA"/>
    <w:rsid w:val="00D30938"/>
    <w:rsid w:val="00D30DC6"/>
    <w:rsid w:val="00D30DD4"/>
    <w:rsid w:val="00D31019"/>
    <w:rsid w:val="00D31161"/>
    <w:rsid w:val="00D311F5"/>
    <w:rsid w:val="00D3126A"/>
    <w:rsid w:val="00D315BA"/>
    <w:rsid w:val="00D31987"/>
    <w:rsid w:val="00D31AFD"/>
    <w:rsid w:val="00D31E68"/>
    <w:rsid w:val="00D320A4"/>
    <w:rsid w:val="00D32327"/>
    <w:rsid w:val="00D3237B"/>
    <w:rsid w:val="00D3292B"/>
    <w:rsid w:val="00D32995"/>
    <w:rsid w:val="00D32A63"/>
    <w:rsid w:val="00D3308D"/>
    <w:rsid w:val="00D33334"/>
    <w:rsid w:val="00D335A9"/>
    <w:rsid w:val="00D338B1"/>
    <w:rsid w:val="00D338C8"/>
    <w:rsid w:val="00D33A26"/>
    <w:rsid w:val="00D33AFE"/>
    <w:rsid w:val="00D33DE2"/>
    <w:rsid w:val="00D33E7D"/>
    <w:rsid w:val="00D33F88"/>
    <w:rsid w:val="00D340EC"/>
    <w:rsid w:val="00D343D9"/>
    <w:rsid w:val="00D344BB"/>
    <w:rsid w:val="00D34539"/>
    <w:rsid w:val="00D34802"/>
    <w:rsid w:val="00D349B3"/>
    <w:rsid w:val="00D34B37"/>
    <w:rsid w:val="00D34B8B"/>
    <w:rsid w:val="00D34C71"/>
    <w:rsid w:val="00D34E1E"/>
    <w:rsid w:val="00D34E92"/>
    <w:rsid w:val="00D350BD"/>
    <w:rsid w:val="00D3525C"/>
    <w:rsid w:val="00D35433"/>
    <w:rsid w:val="00D35456"/>
    <w:rsid w:val="00D356D9"/>
    <w:rsid w:val="00D3570D"/>
    <w:rsid w:val="00D35818"/>
    <w:rsid w:val="00D35844"/>
    <w:rsid w:val="00D35E9C"/>
    <w:rsid w:val="00D36072"/>
    <w:rsid w:val="00D367FF"/>
    <w:rsid w:val="00D36EAA"/>
    <w:rsid w:val="00D3713A"/>
    <w:rsid w:val="00D3715B"/>
    <w:rsid w:val="00D37356"/>
    <w:rsid w:val="00D374CA"/>
    <w:rsid w:val="00D376E5"/>
    <w:rsid w:val="00D4000D"/>
    <w:rsid w:val="00D404C1"/>
    <w:rsid w:val="00D404EC"/>
    <w:rsid w:val="00D4055E"/>
    <w:rsid w:val="00D406D8"/>
    <w:rsid w:val="00D408BD"/>
    <w:rsid w:val="00D409FD"/>
    <w:rsid w:val="00D409FF"/>
    <w:rsid w:val="00D40B19"/>
    <w:rsid w:val="00D40B4F"/>
    <w:rsid w:val="00D40C73"/>
    <w:rsid w:val="00D40D30"/>
    <w:rsid w:val="00D41303"/>
    <w:rsid w:val="00D413F5"/>
    <w:rsid w:val="00D4164A"/>
    <w:rsid w:val="00D416D8"/>
    <w:rsid w:val="00D417D6"/>
    <w:rsid w:val="00D41957"/>
    <w:rsid w:val="00D4196A"/>
    <w:rsid w:val="00D41D3D"/>
    <w:rsid w:val="00D41FCA"/>
    <w:rsid w:val="00D41FDA"/>
    <w:rsid w:val="00D42317"/>
    <w:rsid w:val="00D424F6"/>
    <w:rsid w:val="00D428D6"/>
    <w:rsid w:val="00D42AD5"/>
    <w:rsid w:val="00D42D92"/>
    <w:rsid w:val="00D42F47"/>
    <w:rsid w:val="00D43058"/>
    <w:rsid w:val="00D43442"/>
    <w:rsid w:val="00D43893"/>
    <w:rsid w:val="00D43D8F"/>
    <w:rsid w:val="00D43F42"/>
    <w:rsid w:val="00D44462"/>
    <w:rsid w:val="00D446D8"/>
    <w:rsid w:val="00D44881"/>
    <w:rsid w:val="00D44A47"/>
    <w:rsid w:val="00D44A6F"/>
    <w:rsid w:val="00D44E15"/>
    <w:rsid w:val="00D44EBF"/>
    <w:rsid w:val="00D44F33"/>
    <w:rsid w:val="00D44FBD"/>
    <w:rsid w:val="00D4503B"/>
    <w:rsid w:val="00D45EC5"/>
    <w:rsid w:val="00D45F0F"/>
    <w:rsid w:val="00D4609A"/>
    <w:rsid w:val="00D460AF"/>
    <w:rsid w:val="00D46461"/>
    <w:rsid w:val="00D465DA"/>
    <w:rsid w:val="00D468D1"/>
    <w:rsid w:val="00D46B1D"/>
    <w:rsid w:val="00D46B83"/>
    <w:rsid w:val="00D46D68"/>
    <w:rsid w:val="00D46DB5"/>
    <w:rsid w:val="00D46DF8"/>
    <w:rsid w:val="00D470D9"/>
    <w:rsid w:val="00D474E8"/>
    <w:rsid w:val="00D4752D"/>
    <w:rsid w:val="00D47539"/>
    <w:rsid w:val="00D4759A"/>
    <w:rsid w:val="00D476C5"/>
    <w:rsid w:val="00D476EE"/>
    <w:rsid w:val="00D47843"/>
    <w:rsid w:val="00D47A72"/>
    <w:rsid w:val="00D47D79"/>
    <w:rsid w:val="00D47F6D"/>
    <w:rsid w:val="00D50785"/>
    <w:rsid w:val="00D509D9"/>
    <w:rsid w:val="00D50A45"/>
    <w:rsid w:val="00D50D04"/>
    <w:rsid w:val="00D510C8"/>
    <w:rsid w:val="00D514E6"/>
    <w:rsid w:val="00D51685"/>
    <w:rsid w:val="00D51C1A"/>
    <w:rsid w:val="00D51CA2"/>
    <w:rsid w:val="00D5207F"/>
    <w:rsid w:val="00D520E3"/>
    <w:rsid w:val="00D52156"/>
    <w:rsid w:val="00D523D4"/>
    <w:rsid w:val="00D52759"/>
    <w:rsid w:val="00D52A1F"/>
    <w:rsid w:val="00D532FC"/>
    <w:rsid w:val="00D53649"/>
    <w:rsid w:val="00D53777"/>
    <w:rsid w:val="00D53A20"/>
    <w:rsid w:val="00D53CA7"/>
    <w:rsid w:val="00D53DFD"/>
    <w:rsid w:val="00D544C4"/>
    <w:rsid w:val="00D54688"/>
    <w:rsid w:val="00D546B2"/>
    <w:rsid w:val="00D54797"/>
    <w:rsid w:val="00D54A1B"/>
    <w:rsid w:val="00D54DF9"/>
    <w:rsid w:val="00D5564B"/>
    <w:rsid w:val="00D55927"/>
    <w:rsid w:val="00D559EE"/>
    <w:rsid w:val="00D5616D"/>
    <w:rsid w:val="00D562E0"/>
    <w:rsid w:val="00D56619"/>
    <w:rsid w:val="00D5670B"/>
    <w:rsid w:val="00D56914"/>
    <w:rsid w:val="00D5693A"/>
    <w:rsid w:val="00D56C4B"/>
    <w:rsid w:val="00D57116"/>
    <w:rsid w:val="00D571F7"/>
    <w:rsid w:val="00D57480"/>
    <w:rsid w:val="00D57BC0"/>
    <w:rsid w:val="00D57CE3"/>
    <w:rsid w:val="00D57EEA"/>
    <w:rsid w:val="00D604BB"/>
    <w:rsid w:val="00D606D7"/>
    <w:rsid w:val="00D60C7F"/>
    <w:rsid w:val="00D60D26"/>
    <w:rsid w:val="00D60DFC"/>
    <w:rsid w:val="00D60F38"/>
    <w:rsid w:val="00D61280"/>
    <w:rsid w:val="00D6142B"/>
    <w:rsid w:val="00D618FD"/>
    <w:rsid w:val="00D61E56"/>
    <w:rsid w:val="00D61F9F"/>
    <w:rsid w:val="00D621A6"/>
    <w:rsid w:val="00D62951"/>
    <w:rsid w:val="00D62B59"/>
    <w:rsid w:val="00D6301C"/>
    <w:rsid w:val="00D630B6"/>
    <w:rsid w:val="00D630D8"/>
    <w:rsid w:val="00D635B5"/>
    <w:rsid w:val="00D635E0"/>
    <w:rsid w:val="00D636EE"/>
    <w:rsid w:val="00D63815"/>
    <w:rsid w:val="00D63842"/>
    <w:rsid w:val="00D63996"/>
    <w:rsid w:val="00D63E0D"/>
    <w:rsid w:val="00D63E61"/>
    <w:rsid w:val="00D63EF0"/>
    <w:rsid w:val="00D643D7"/>
    <w:rsid w:val="00D64978"/>
    <w:rsid w:val="00D64CDD"/>
    <w:rsid w:val="00D64D0B"/>
    <w:rsid w:val="00D64E7A"/>
    <w:rsid w:val="00D65091"/>
    <w:rsid w:val="00D65158"/>
    <w:rsid w:val="00D6530E"/>
    <w:rsid w:val="00D654EC"/>
    <w:rsid w:val="00D65591"/>
    <w:rsid w:val="00D65B48"/>
    <w:rsid w:val="00D65C58"/>
    <w:rsid w:val="00D65ED3"/>
    <w:rsid w:val="00D661DC"/>
    <w:rsid w:val="00D66495"/>
    <w:rsid w:val="00D664CB"/>
    <w:rsid w:val="00D664F3"/>
    <w:rsid w:val="00D66511"/>
    <w:rsid w:val="00D66748"/>
    <w:rsid w:val="00D66906"/>
    <w:rsid w:val="00D66B27"/>
    <w:rsid w:val="00D66C48"/>
    <w:rsid w:val="00D66C71"/>
    <w:rsid w:val="00D6706A"/>
    <w:rsid w:val="00D67762"/>
    <w:rsid w:val="00D70098"/>
    <w:rsid w:val="00D70295"/>
    <w:rsid w:val="00D703DB"/>
    <w:rsid w:val="00D70AB5"/>
    <w:rsid w:val="00D70CCA"/>
    <w:rsid w:val="00D7121F"/>
    <w:rsid w:val="00D7167F"/>
    <w:rsid w:val="00D7170D"/>
    <w:rsid w:val="00D71849"/>
    <w:rsid w:val="00D71DBF"/>
    <w:rsid w:val="00D71EE4"/>
    <w:rsid w:val="00D72134"/>
    <w:rsid w:val="00D724B8"/>
    <w:rsid w:val="00D7279E"/>
    <w:rsid w:val="00D72954"/>
    <w:rsid w:val="00D729B2"/>
    <w:rsid w:val="00D72A9F"/>
    <w:rsid w:val="00D72B4D"/>
    <w:rsid w:val="00D72BBD"/>
    <w:rsid w:val="00D72C95"/>
    <w:rsid w:val="00D72E49"/>
    <w:rsid w:val="00D731E8"/>
    <w:rsid w:val="00D7323C"/>
    <w:rsid w:val="00D73318"/>
    <w:rsid w:val="00D73342"/>
    <w:rsid w:val="00D7356E"/>
    <w:rsid w:val="00D73676"/>
    <w:rsid w:val="00D7390F"/>
    <w:rsid w:val="00D739E8"/>
    <w:rsid w:val="00D73EE7"/>
    <w:rsid w:val="00D73F08"/>
    <w:rsid w:val="00D742F8"/>
    <w:rsid w:val="00D74988"/>
    <w:rsid w:val="00D74FE6"/>
    <w:rsid w:val="00D75136"/>
    <w:rsid w:val="00D754BC"/>
    <w:rsid w:val="00D7558D"/>
    <w:rsid w:val="00D758FE"/>
    <w:rsid w:val="00D75D02"/>
    <w:rsid w:val="00D76260"/>
    <w:rsid w:val="00D76706"/>
    <w:rsid w:val="00D76A24"/>
    <w:rsid w:val="00D770F3"/>
    <w:rsid w:val="00D772EA"/>
    <w:rsid w:val="00D77618"/>
    <w:rsid w:val="00D77C3B"/>
    <w:rsid w:val="00D77D03"/>
    <w:rsid w:val="00D80396"/>
    <w:rsid w:val="00D805D0"/>
    <w:rsid w:val="00D80D78"/>
    <w:rsid w:val="00D81233"/>
    <w:rsid w:val="00D81234"/>
    <w:rsid w:val="00D8180E"/>
    <w:rsid w:val="00D8182C"/>
    <w:rsid w:val="00D8184E"/>
    <w:rsid w:val="00D8223F"/>
    <w:rsid w:val="00D8238C"/>
    <w:rsid w:val="00D82451"/>
    <w:rsid w:val="00D82984"/>
    <w:rsid w:val="00D829C0"/>
    <w:rsid w:val="00D82B1C"/>
    <w:rsid w:val="00D82D01"/>
    <w:rsid w:val="00D82E33"/>
    <w:rsid w:val="00D82E65"/>
    <w:rsid w:val="00D82EF0"/>
    <w:rsid w:val="00D830BA"/>
    <w:rsid w:val="00D831BF"/>
    <w:rsid w:val="00D831CE"/>
    <w:rsid w:val="00D832F8"/>
    <w:rsid w:val="00D8348C"/>
    <w:rsid w:val="00D8364C"/>
    <w:rsid w:val="00D838E1"/>
    <w:rsid w:val="00D838E6"/>
    <w:rsid w:val="00D83CAE"/>
    <w:rsid w:val="00D8477F"/>
    <w:rsid w:val="00D849B3"/>
    <w:rsid w:val="00D84A8D"/>
    <w:rsid w:val="00D84B21"/>
    <w:rsid w:val="00D84F72"/>
    <w:rsid w:val="00D851EB"/>
    <w:rsid w:val="00D8584F"/>
    <w:rsid w:val="00D85A78"/>
    <w:rsid w:val="00D85A93"/>
    <w:rsid w:val="00D85B4F"/>
    <w:rsid w:val="00D85E02"/>
    <w:rsid w:val="00D85F2D"/>
    <w:rsid w:val="00D85F3A"/>
    <w:rsid w:val="00D86852"/>
    <w:rsid w:val="00D868AF"/>
    <w:rsid w:val="00D86940"/>
    <w:rsid w:val="00D86A6E"/>
    <w:rsid w:val="00D86BC2"/>
    <w:rsid w:val="00D86DE5"/>
    <w:rsid w:val="00D87028"/>
    <w:rsid w:val="00D87441"/>
    <w:rsid w:val="00D87562"/>
    <w:rsid w:val="00D878BD"/>
    <w:rsid w:val="00D87B73"/>
    <w:rsid w:val="00D87E4A"/>
    <w:rsid w:val="00D90085"/>
    <w:rsid w:val="00D9013A"/>
    <w:rsid w:val="00D901BC"/>
    <w:rsid w:val="00D90405"/>
    <w:rsid w:val="00D9072F"/>
    <w:rsid w:val="00D90C26"/>
    <w:rsid w:val="00D90DDD"/>
    <w:rsid w:val="00D90DF7"/>
    <w:rsid w:val="00D90EC0"/>
    <w:rsid w:val="00D90EF2"/>
    <w:rsid w:val="00D90F2F"/>
    <w:rsid w:val="00D912C3"/>
    <w:rsid w:val="00D91A8E"/>
    <w:rsid w:val="00D91AE8"/>
    <w:rsid w:val="00D91C33"/>
    <w:rsid w:val="00D91F16"/>
    <w:rsid w:val="00D922BB"/>
    <w:rsid w:val="00D92628"/>
    <w:rsid w:val="00D92858"/>
    <w:rsid w:val="00D92BA4"/>
    <w:rsid w:val="00D92DAF"/>
    <w:rsid w:val="00D92E1B"/>
    <w:rsid w:val="00D92E42"/>
    <w:rsid w:val="00D930D9"/>
    <w:rsid w:val="00D935F3"/>
    <w:rsid w:val="00D93705"/>
    <w:rsid w:val="00D938B5"/>
    <w:rsid w:val="00D9398B"/>
    <w:rsid w:val="00D93B4F"/>
    <w:rsid w:val="00D93C05"/>
    <w:rsid w:val="00D93CC1"/>
    <w:rsid w:val="00D93CDA"/>
    <w:rsid w:val="00D93E8D"/>
    <w:rsid w:val="00D944EA"/>
    <w:rsid w:val="00D94503"/>
    <w:rsid w:val="00D9460E"/>
    <w:rsid w:val="00D946A6"/>
    <w:rsid w:val="00D9490C"/>
    <w:rsid w:val="00D94CF6"/>
    <w:rsid w:val="00D94F17"/>
    <w:rsid w:val="00D94F61"/>
    <w:rsid w:val="00D94F9C"/>
    <w:rsid w:val="00D9548A"/>
    <w:rsid w:val="00D95512"/>
    <w:rsid w:val="00D95624"/>
    <w:rsid w:val="00D9595E"/>
    <w:rsid w:val="00D959E8"/>
    <w:rsid w:val="00D95B60"/>
    <w:rsid w:val="00D95C26"/>
    <w:rsid w:val="00D96005"/>
    <w:rsid w:val="00D968A3"/>
    <w:rsid w:val="00D97061"/>
    <w:rsid w:val="00D9712E"/>
    <w:rsid w:val="00D972B1"/>
    <w:rsid w:val="00D972B5"/>
    <w:rsid w:val="00D9744F"/>
    <w:rsid w:val="00D9767F"/>
    <w:rsid w:val="00D97711"/>
    <w:rsid w:val="00D97A67"/>
    <w:rsid w:val="00D97B2B"/>
    <w:rsid w:val="00D97D09"/>
    <w:rsid w:val="00DA00F0"/>
    <w:rsid w:val="00DA0A0B"/>
    <w:rsid w:val="00DA0A74"/>
    <w:rsid w:val="00DA0AE4"/>
    <w:rsid w:val="00DA0D0E"/>
    <w:rsid w:val="00DA1058"/>
    <w:rsid w:val="00DA11F9"/>
    <w:rsid w:val="00DA1B3E"/>
    <w:rsid w:val="00DA1DB4"/>
    <w:rsid w:val="00DA241A"/>
    <w:rsid w:val="00DA2653"/>
    <w:rsid w:val="00DA2992"/>
    <w:rsid w:val="00DA2A8A"/>
    <w:rsid w:val="00DA2ABE"/>
    <w:rsid w:val="00DA2B20"/>
    <w:rsid w:val="00DA359E"/>
    <w:rsid w:val="00DA36D1"/>
    <w:rsid w:val="00DA381F"/>
    <w:rsid w:val="00DA3CB0"/>
    <w:rsid w:val="00DA3CDD"/>
    <w:rsid w:val="00DA4039"/>
    <w:rsid w:val="00DA453A"/>
    <w:rsid w:val="00DA4587"/>
    <w:rsid w:val="00DA49A2"/>
    <w:rsid w:val="00DA4A61"/>
    <w:rsid w:val="00DA519F"/>
    <w:rsid w:val="00DA53CC"/>
    <w:rsid w:val="00DA54B5"/>
    <w:rsid w:val="00DA57DA"/>
    <w:rsid w:val="00DA5AEF"/>
    <w:rsid w:val="00DA5F31"/>
    <w:rsid w:val="00DA617D"/>
    <w:rsid w:val="00DA6614"/>
    <w:rsid w:val="00DA662B"/>
    <w:rsid w:val="00DA6765"/>
    <w:rsid w:val="00DA6E13"/>
    <w:rsid w:val="00DA701F"/>
    <w:rsid w:val="00DA75CF"/>
    <w:rsid w:val="00DA7606"/>
    <w:rsid w:val="00DA7AB1"/>
    <w:rsid w:val="00DA7F2B"/>
    <w:rsid w:val="00DB0129"/>
    <w:rsid w:val="00DB10D3"/>
    <w:rsid w:val="00DB13E8"/>
    <w:rsid w:val="00DB1530"/>
    <w:rsid w:val="00DB1DBA"/>
    <w:rsid w:val="00DB1E16"/>
    <w:rsid w:val="00DB203F"/>
    <w:rsid w:val="00DB2063"/>
    <w:rsid w:val="00DB2253"/>
    <w:rsid w:val="00DB2325"/>
    <w:rsid w:val="00DB25EE"/>
    <w:rsid w:val="00DB276D"/>
    <w:rsid w:val="00DB277C"/>
    <w:rsid w:val="00DB29EA"/>
    <w:rsid w:val="00DB2A9B"/>
    <w:rsid w:val="00DB2CA7"/>
    <w:rsid w:val="00DB308D"/>
    <w:rsid w:val="00DB31F0"/>
    <w:rsid w:val="00DB35BB"/>
    <w:rsid w:val="00DB362E"/>
    <w:rsid w:val="00DB3E00"/>
    <w:rsid w:val="00DB3F19"/>
    <w:rsid w:val="00DB3F54"/>
    <w:rsid w:val="00DB3F92"/>
    <w:rsid w:val="00DB4059"/>
    <w:rsid w:val="00DB40F5"/>
    <w:rsid w:val="00DB4361"/>
    <w:rsid w:val="00DB4520"/>
    <w:rsid w:val="00DB4540"/>
    <w:rsid w:val="00DB471A"/>
    <w:rsid w:val="00DB47D8"/>
    <w:rsid w:val="00DB4C1B"/>
    <w:rsid w:val="00DB5226"/>
    <w:rsid w:val="00DB52AB"/>
    <w:rsid w:val="00DB52FF"/>
    <w:rsid w:val="00DB565E"/>
    <w:rsid w:val="00DB56E4"/>
    <w:rsid w:val="00DB5859"/>
    <w:rsid w:val="00DB5F4D"/>
    <w:rsid w:val="00DB6004"/>
    <w:rsid w:val="00DB66F9"/>
    <w:rsid w:val="00DB68BB"/>
    <w:rsid w:val="00DB6C22"/>
    <w:rsid w:val="00DB6E5F"/>
    <w:rsid w:val="00DB7275"/>
    <w:rsid w:val="00DB7460"/>
    <w:rsid w:val="00DB7471"/>
    <w:rsid w:val="00DB7CD5"/>
    <w:rsid w:val="00DC07CC"/>
    <w:rsid w:val="00DC0920"/>
    <w:rsid w:val="00DC0F20"/>
    <w:rsid w:val="00DC100F"/>
    <w:rsid w:val="00DC123E"/>
    <w:rsid w:val="00DC12A4"/>
    <w:rsid w:val="00DC1394"/>
    <w:rsid w:val="00DC16E8"/>
    <w:rsid w:val="00DC1985"/>
    <w:rsid w:val="00DC1A52"/>
    <w:rsid w:val="00DC1B5C"/>
    <w:rsid w:val="00DC2739"/>
    <w:rsid w:val="00DC2B76"/>
    <w:rsid w:val="00DC3222"/>
    <w:rsid w:val="00DC3299"/>
    <w:rsid w:val="00DC3453"/>
    <w:rsid w:val="00DC34F2"/>
    <w:rsid w:val="00DC3540"/>
    <w:rsid w:val="00DC3B0D"/>
    <w:rsid w:val="00DC3CA2"/>
    <w:rsid w:val="00DC3D9A"/>
    <w:rsid w:val="00DC3ECB"/>
    <w:rsid w:val="00DC4135"/>
    <w:rsid w:val="00DC41A8"/>
    <w:rsid w:val="00DC42D8"/>
    <w:rsid w:val="00DC4D7E"/>
    <w:rsid w:val="00DC5138"/>
    <w:rsid w:val="00DC551F"/>
    <w:rsid w:val="00DC552D"/>
    <w:rsid w:val="00DC5BFE"/>
    <w:rsid w:val="00DC5D2F"/>
    <w:rsid w:val="00DC5D43"/>
    <w:rsid w:val="00DC5E50"/>
    <w:rsid w:val="00DC6509"/>
    <w:rsid w:val="00DC6987"/>
    <w:rsid w:val="00DC6B31"/>
    <w:rsid w:val="00DC6B60"/>
    <w:rsid w:val="00DC6C49"/>
    <w:rsid w:val="00DC6EE0"/>
    <w:rsid w:val="00DC6F74"/>
    <w:rsid w:val="00DC719C"/>
    <w:rsid w:val="00DC7366"/>
    <w:rsid w:val="00DC74D5"/>
    <w:rsid w:val="00DC768C"/>
    <w:rsid w:val="00DC777E"/>
    <w:rsid w:val="00DC7796"/>
    <w:rsid w:val="00DC77D1"/>
    <w:rsid w:val="00DC7D91"/>
    <w:rsid w:val="00DC7DFA"/>
    <w:rsid w:val="00DC7E7A"/>
    <w:rsid w:val="00DD0064"/>
    <w:rsid w:val="00DD02A6"/>
    <w:rsid w:val="00DD05A3"/>
    <w:rsid w:val="00DD0E88"/>
    <w:rsid w:val="00DD0E8A"/>
    <w:rsid w:val="00DD15C9"/>
    <w:rsid w:val="00DD16F1"/>
    <w:rsid w:val="00DD171F"/>
    <w:rsid w:val="00DD17DA"/>
    <w:rsid w:val="00DD1CF9"/>
    <w:rsid w:val="00DD204C"/>
    <w:rsid w:val="00DD2092"/>
    <w:rsid w:val="00DD21A2"/>
    <w:rsid w:val="00DD2250"/>
    <w:rsid w:val="00DD2914"/>
    <w:rsid w:val="00DD2E08"/>
    <w:rsid w:val="00DD2F76"/>
    <w:rsid w:val="00DD309C"/>
    <w:rsid w:val="00DD30C2"/>
    <w:rsid w:val="00DD3206"/>
    <w:rsid w:val="00DD36B9"/>
    <w:rsid w:val="00DD3725"/>
    <w:rsid w:val="00DD3775"/>
    <w:rsid w:val="00DD3D50"/>
    <w:rsid w:val="00DD3F87"/>
    <w:rsid w:val="00DD4076"/>
    <w:rsid w:val="00DD434A"/>
    <w:rsid w:val="00DD46D3"/>
    <w:rsid w:val="00DD4F9A"/>
    <w:rsid w:val="00DD62C1"/>
    <w:rsid w:val="00DD64D5"/>
    <w:rsid w:val="00DD6A1B"/>
    <w:rsid w:val="00DD6F67"/>
    <w:rsid w:val="00DD71AA"/>
    <w:rsid w:val="00DD737B"/>
    <w:rsid w:val="00DD7968"/>
    <w:rsid w:val="00DD7A33"/>
    <w:rsid w:val="00DD7B83"/>
    <w:rsid w:val="00DD7DD5"/>
    <w:rsid w:val="00DD7F8F"/>
    <w:rsid w:val="00DE00DC"/>
    <w:rsid w:val="00DE0139"/>
    <w:rsid w:val="00DE06E4"/>
    <w:rsid w:val="00DE0CB2"/>
    <w:rsid w:val="00DE1232"/>
    <w:rsid w:val="00DE15DA"/>
    <w:rsid w:val="00DE1634"/>
    <w:rsid w:val="00DE1827"/>
    <w:rsid w:val="00DE19D1"/>
    <w:rsid w:val="00DE1A36"/>
    <w:rsid w:val="00DE1CDE"/>
    <w:rsid w:val="00DE24D0"/>
    <w:rsid w:val="00DE3199"/>
    <w:rsid w:val="00DE3B95"/>
    <w:rsid w:val="00DE3BCC"/>
    <w:rsid w:val="00DE40C6"/>
    <w:rsid w:val="00DE434B"/>
    <w:rsid w:val="00DE452F"/>
    <w:rsid w:val="00DE45E3"/>
    <w:rsid w:val="00DE4E9E"/>
    <w:rsid w:val="00DE5455"/>
    <w:rsid w:val="00DE6202"/>
    <w:rsid w:val="00DE67A7"/>
    <w:rsid w:val="00DE6979"/>
    <w:rsid w:val="00DE69BF"/>
    <w:rsid w:val="00DE6AC5"/>
    <w:rsid w:val="00DE6AE0"/>
    <w:rsid w:val="00DE6CDD"/>
    <w:rsid w:val="00DE6EA6"/>
    <w:rsid w:val="00DE71B7"/>
    <w:rsid w:val="00DE76B4"/>
    <w:rsid w:val="00DE76D9"/>
    <w:rsid w:val="00DE7861"/>
    <w:rsid w:val="00DE7C00"/>
    <w:rsid w:val="00DE7D16"/>
    <w:rsid w:val="00DE7E98"/>
    <w:rsid w:val="00DF0001"/>
    <w:rsid w:val="00DF00BE"/>
    <w:rsid w:val="00DF0174"/>
    <w:rsid w:val="00DF0415"/>
    <w:rsid w:val="00DF04F6"/>
    <w:rsid w:val="00DF0A05"/>
    <w:rsid w:val="00DF0A7A"/>
    <w:rsid w:val="00DF0EE9"/>
    <w:rsid w:val="00DF14B7"/>
    <w:rsid w:val="00DF1597"/>
    <w:rsid w:val="00DF1797"/>
    <w:rsid w:val="00DF18B7"/>
    <w:rsid w:val="00DF1A43"/>
    <w:rsid w:val="00DF1E88"/>
    <w:rsid w:val="00DF236F"/>
    <w:rsid w:val="00DF2575"/>
    <w:rsid w:val="00DF2883"/>
    <w:rsid w:val="00DF2D00"/>
    <w:rsid w:val="00DF30AE"/>
    <w:rsid w:val="00DF3A76"/>
    <w:rsid w:val="00DF3BE1"/>
    <w:rsid w:val="00DF3DBD"/>
    <w:rsid w:val="00DF407B"/>
    <w:rsid w:val="00DF455F"/>
    <w:rsid w:val="00DF477A"/>
    <w:rsid w:val="00DF4801"/>
    <w:rsid w:val="00DF4DAF"/>
    <w:rsid w:val="00DF4E38"/>
    <w:rsid w:val="00DF5377"/>
    <w:rsid w:val="00DF5853"/>
    <w:rsid w:val="00DF5E28"/>
    <w:rsid w:val="00DF5F4D"/>
    <w:rsid w:val="00DF673E"/>
    <w:rsid w:val="00DF6C4B"/>
    <w:rsid w:val="00DF6C4D"/>
    <w:rsid w:val="00DF6CF3"/>
    <w:rsid w:val="00DF6D71"/>
    <w:rsid w:val="00DF6EFC"/>
    <w:rsid w:val="00DF7803"/>
    <w:rsid w:val="00DF79DA"/>
    <w:rsid w:val="00DF79E4"/>
    <w:rsid w:val="00E00029"/>
    <w:rsid w:val="00E00059"/>
    <w:rsid w:val="00E00510"/>
    <w:rsid w:val="00E00D51"/>
    <w:rsid w:val="00E01784"/>
    <w:rsid w:val="00E0179B"/>
    <w:rsid w:val="00E0186A"/>
    <w:rsid w:val="00E018A3"/>
    <w:rsid w:val="00E01D13"/>
    <w:rsid w:val="00E020CB"/>
    <w:rsid w:val="00E0210C"/>
    <w:rsid w:val="00E02332"/>
    <w:rsid w:val="00E023CB"/>
    <w:rsid w:val="00E024E0"/>
    <w:rsid w:val="00E0361C"/>
    <w:rsid w:val="00E03859"/>
    <w:rsid w:val="00E03CE2"/>
    <w:rsid w:val="00E03F47"/>
    <w:rsid w:val="00E043CA"/>
    <w:rsid w:val="00E0448A"/>
    <w:rsid w:val="00E046E4"/>
    <w:rsid w:val="00E04729"/>
    <w:rsid w:val="00E0495D"/>
    <w:rsid w:val="00E04B0D"/>
    <w:rsid w:val="00E04EDB"/>
    <w:rsid w:val="00E057F2"/>
    <w:rsid w:val="00E05893"/>
    <w:rsid w:val="00E05BE0"/>
    <w:rsid w:val="00E05D3B"/>
    <w:rsid w:val="00E061F3"/>
    <w:rsid w:val="00E064CE"/>
    <w:rsid w:val="00E06D51"/>
    <w:rsid w:val="00E06EB0"/>
    <w:rsid w:val="00E06FEF"/>
    <w:rsid w:val="00E07163"/>
    <w:rsid w:val="00E072A7"/>
    <w:rsid w:val="00E07856"/>
    <w:rsid w:val="00E078DE"/>
    <w:rsid w:val="00E07E48"/>
    <w:rsid w:val="00E10066"/>
    <w:rsid w:val="00E10867"/>
    <w:rsid w:val="00E10A00"/>
    <w:rsid w:val="00E11939"/>
    <w:rsid w:val="00E11D16"/>
    <w:rsid w:val="00E11DE9"/>
    <w:rsid w:val="00E12600"/>
    <w:rsid w:val="00E12604"/>
    <w:rsid w:val="00E12ABD"/>
    <w:rsid w:val="00E12B68"/>
    <w:rsid w:val="00E12BD5"/>
    <w:rsid w:val="00E12D5D"/>
    <w:rsid w:val="00E1302C"/>
    <w:rsid w:val="00E13746"/>
    <w:rsid w:val="00E13FAF"/>
    <w:rsid w:val="00E14060"/>
    <w:rsid w:val="00E141CA"/>
    <w:rsid w:val="00E14BE9"/>
    <w:rsid w:val="00E14F77"/>
    <w:rsid w:val="00E152A2"/>
    <w:rsid w:val="00E15309"/>
    <w:rsid w:val="00E153F0"/>
    <w:rsid w:val="00E15441"/>
    <w:rsid w:val="00E159DC"/>
    <w:rsid w:val="00E15A3E"/>
    <w:rsid w:val="00E16096"/>
    <w:rsid w:val="00E16641"/>
    <w:rsid w:val="00E16CB0"/>
    <w:rsid w:val="00E16DD4"/>
    <w:rsid w:val="00E17268"/>
    <w:rsid w:val="00E1770B"/>
    <w:rsid w:val="00E20128"/>
    <w:rsid w:val="00E20573"/>
    <w:rsid w:val="00E20755"/>
    <w:rsid w:val="00E20DD9"/>
    <w:rsid w:val="00E20EA8"/>
    <w:rsid w:val="00E20F2F"/>
    <w:rsid w:val="00E2150A"/>
    <w:rsid w:val="00E21657"/>
    <w:rsid w:val="00E2176F"/>
    <w:rsid w:val="00E21857"/>
    <w:rsid w:val="00E2193A"/>
    <w:rsid w:val="00E21DB4"/>
    <w:rsid w:val="00E225E0"/>
    <w:rsid w:val="00E22A2B"/>
    <w:rsid w:val="00E22ACA"/>
    <w:rsid w:val="00E22BDC"/>
    <w:rsid w:val="00E23ADD"/>
    <w:rsid w:val="00E23B04"/>
    <w:rsid w:val="00E23E6A"/>
    <w:rsid w:val="00E23F53"/>
    <w:rsid w:val="00E2401F"/>
    <w:rsid w:val="00E240E0"/>
    <w:rsid w:val="00E2423A"/>
    <w:rsid w:val="00E24250"/>
    <w:rsid w:val="00E2462F"/>
    <w:rsid w:val="00E24858"/>
    <w:rsid w:val="00E2496D"/>
    <w:rsid w:val="00E24A3F"/>
    <w:rsid w:val="00E24AB8"/>
    <w:rsid w:val="00E24D2A"/>
    <w:rsid w:val="00E251F8"/>
    <w:rsid w:val="00E25E07"/>
    <w:rsid w:val="00E25F90"/>
    <w:rsid w:val="00E2604B"/>
    <w:rsid w:val="00E2675B"/>
    <w:rsid w:val="00E26842"/>
    <w:rsid w:val="00E26C4D"/>
    <w:rsid w:val="00E26D25"/>
    <w:rsid w:val="00E26DAC"/>
    <w:rsid w:val="00E27149"/>
    <w:rsid w:val="00E27203"/>
    <w:rsid w:val="00E27F3E"/>
    <w:rsid w:val="00E27FF9"/>
    <w:rsid w:val="00E30085"/>
    <w:rsid w:val="00E3008A"/>
    <w:rsid w:val="00E300AF"/>
    <w:rsid w:val="00E3087C"/>
    <w:rsid w:val="00E3096B"/>
    <w:rsid w:val="00E30AEB"/>
    <w:rsid w:val="00E30D17"/>
    <w:rsid w:val="00E30D7C"/>
    <w:rsid w:val="00E30F8C"/>
    <w:rsid w:val="00E311D3"/>
    <w:rsid w:val="00E31203"/>
    <w:rsid w:val="00E31282"/>
    <w:rsid w:val="00E313C0"/>
    <w:rsid w:val="00E314BC"/>
    <w:rsid w:val="00E3155E"/>
    <w:rsid w:val="00E31841"/>
    <w:rsid w:val="00E319DC"/>
    <w:rsid w:val="00E31C17"/>
    <w:rsid w:val="00E31E2F"/>
    <w:rsid w:val="00E320C4"/>
    <w:rsid w:val="00E322AD"/>
    <w:rsid w:val="00E32344"/>
    <w:rsid w:val="00E325F8"/>
    <w:rsid w:val="00E3261E"/>
    <w:rsid w:val="00E3278E"/>
    <w:rsid w:val="00E32D39"/>
    <w:rsid w:val="00E32E69"/>
    <w:rsid w:val="00E3309A"/>
    <w:rsid w:val="00E3346E"/>
    <w:rsid w:val="00E33545"/>
    <w:rsid w:val="00E3356F"/>
    <w:rsid w:val="00E33B53"/>
    <w:rsid w:val="00E33BF6"/>
    <w:rsid w:val="00E33C21"/>
    <w:rsid w:val="00E3400C"/>
    <w:rsid w:val="00E34B3E"/>
    <w:rsid w:val="00E34EA7"/>
    <w:rsid w:val="00E3521E"/>
    <w:rsid w:val="00E35287"/>
    <w:rsid w:val="00E35477"/>
    <w:rsid w:val="00E35AC0"/>
    <w:rsid w:val="00E360F5"/>
    <w:rsid w:val="00E364DD"/>
    <w:rsid w:val="00E36881"/>
    <w:rsid w:val="00E36B9C"/>
    <w:rsid w:val="00E36C58"/>
    <w:rsid w:val="00E37B62"/>
    <w:rsid w:val="00E37C85"/>
    <w:rsid w:val="00E37F8B"/>
    <w:rsid w:val="00E400F5"/>
    <w:rsid w:val="00E4011C"/>
    <w:rsid w:val="00E40442"/>
    <w:rsid w:val="00E404ED"/>
    <w:rsid w:val="00E40817"/>
    <w:rsid w:val="00E408B8"/>
    <w:rsid w:val="00E40A17"/>
    <w:rsid w:val="00E40B16"/>
    <w:rsid w:val="00E40D83"/>
    <w:rsid w:val="00E413AF"/>
    <w:rsid w:val="00E413EC"/>
    <w:rsid w:val="00E41717"/>
    <w:rsid w:val="00E41859"/>
    <w:rsid w:val="00E41904"/>
    <w:rsid w:val="00E41CE4"/>
    <w:rsid w:val="00E41F4C"/>
    <w:rsid w:val="00E41FDC"/>
    <w:rsid w:val="00E421AB"/>
    <w:rsid w:val="00E42448"/>
    <w:rsid w:val="00E424A5"/>
    <w:rsid w:val="00E424D6"/>
    <w:rsid w:val="00E424DA"/>
    <w:rsid w:val="00E4267F"/>
    <w:rsid w:val="00E42F2C"/>
    <w:rsid w:val="00E431FD"/>
    <w:rsid w:val="00E43689"/>
    <w:rsid w:val="00E43A10"/>
    <w:rsid w:val="00E43B17"/>
    <w:rsid w:val="00E43EE7"/>
    <w:rsid w:val="00E43F00"/>
    <w:rsid w:val="00E4426F"/>
    <w:rsid w:val="00E44447"/>
    <w:rsid w:val="00E4459D"/>
    <w:rsid w:val="00E44679"/>
    <w:rsid w:val="00E44788"/>
    <w:rsid w:val="00E448ED"/>
    <w:rsid w:val="00E4490D"/>
    <w:rsid w:val="00E458AD"/>
    <w:rsid w:val="00E45A33"/>
    <w:rsid w:val="00E45D1D"/>
    <w:rsid w:val="00E466BC"/>
    <w:rsid w:val="00E468E6"/>
    <w:rsid w:val="00E46D77"/>
    <w:rsid w:val="00E474BA"/>
    <w:rsid w:val="00E475D9"/>
    <w:rsid w:val="00E47A3D"/>
    <w:rsid w:val="00E47FC1"/>
    <w:rsid w:val="00E47FD5"/>
    <w:rsid w:val="00E5071F"/>
    <w:rsid w:val="00E50846"/>
    <w:rsid w:val="00E50BCB"/>
    <w:rsid w:val="00E50D15"/>
    <w:rsid w:val="00E50D34"/>
    <w:rsid w:val="00E5121E"/>
    <w:rsid w:val="00E516E1"/>
    <w:rsid w:val="00E517CB"/>
    <w:rsid w:val="00E517F3"/>
    <w:rsid w:val="00E5194A"/>
    <w:rsid w:val="00E51ECE"/>
    <w:rsid w:val="00E5224F"/>
    <w:rsid w:val="00E522A2"/>
    <w:rsid w:val="00E528CF"/>
    <w:rsid w:val="00E52BD9"/>
    <w:rsid w:val="00E52E62"/>
    <w:rsid w:val="00E534BC"/>
    <w:rsid w:val="00E53AF8"/>
    <w:rsid w:val="00E53E7F"/>
    <w:rsid w:val="00E54008"/>
    <w:rsid w:val="00E54066"/>
    <w:rsid w:val="00E54214"/>
    <w:rsid w:val="00E54220"/>
    <w:rsid w:val="00E542FD"/>
    <w:rsid w:val="00E543EB"/>
    <w:rsid w:val="00E5464F"/>
    <w:rsid w:val="00E548E2"/>
    <w:rsid w:val="00E549A5"/>
    <w:rsid w:val="00E54A1F"/>
    <w:rsid w:val="00E54AAC"/>
    <w:rsid w:val="00E54B31"/>
    <w:rsid w:val="00E54C03"/>
    <w:rsid w:val="00E54C58"/>
    <w:rsid w:val="00E551B2"/>
    <w:rsid w:val="00E5550C"/>
    <w:rsid w:val="00E555E1"/>
    <w:rsid w:val="00E56366"/>
    <w:rsid w:val="00E5642E"/>
    <w:rsid w:val="00E56740"/>
    <w:rsid w:val="00E567B1"/>
    <w:rsid w:val="00E57AA3"/>
    <w:rsid w:val="00E57F19"/>
    <w:rsid w:val="00E57FBA"/>
    <w:rsid w:val="00E6001A"/>
    <w:rsid w:val="00E604E0"/>
    <w:rsid w:val="00E604FA"/>
    <w:rsid w:val="00E605CC"/>
    <w:rsid w:val="00E605DF"/>
    <w:rsid w:val="00E60DD4"/>
    <w:rsid w:val="00E60DD5"/>
    <w:rsid w:val="00E60F3B"/>
    <w:rsid w:val="00E60F9B"/>
    <w:rsid w:val="00E6146D"/>
    <w:rsid w:val="00E614CB"/>
    <w:rsid w:val="00E615BC"/>
    <w:rsid w:val="00E61649"/>
    <w:rsid w:val="00E61AB9"/>
    <w:rsid w:val="00E61C73"/>
    <w:rsid w:val="00E62015"/>
    <w:rsid w:val="00E62040"/>
    <w:rsid w:val="00E6219F"/>
    <w:rsid w:val="00E62339"/>
    <w:rsid w:val="00E62384"/>
    <w:rsid w:val="00E62500"/>
    <w:rsid w:val="00E62A99"/>
    <w:rsid w:val="00E62AB9"/>
    <w:rsid w:val="00E63623"/>
    <w:rsid w:val="00E63776"/>
    <w:rsid w:val="00E63BAE"/>
    <w:rsid w:val="00E63E8D"/>
    <w:rsid w:val="00E63FB3"/>
    <w:rsid w:val="00E6430B"/>
    <w:rsid w:val="00E64AB2"/>
    <w:rsid w:val="00E64B15"/>
    <w:rsid w:val="00E64C54"/>
    <w:rsid w:val="00E65297"/>
    <w:rsid w:val="00E654E9"/>
    <w:rsid w:val="00E65A65"/>
    <w:rsid w:val="00E65B51"/>
    <w:rsid w:val="00E66290"/>
    <w:rsid w:val="00E66AD5"/>
    <w:rsid w:val="00E66E95"/>
    <w:rsid w:val="00E66EF4"/>
    <w:rsid w:val="00E66F20"/>
    <w:rsid w:val="00E66FC9"/>
    <w:rsid w:val="00E672CB"/>
    <w:rsid w:val="00E67B93"/>
    <w:rsid w:val="00E67E97"/>
    <w:rsid w:val="00E67EA1"/>
    <w:rsid w:val="00E67F9E"/>
    <w:rsid w:val="00E7012D"/>
    <w:rsid w:val="00E708B8"/>
    <w:rsid w:val="00E708F7"/>
    <w:rsid w:val="00E709A9"/>
    <w:rsid w:val="00E70E5C"/>
    <w:rsid w:val="00E70E93"/>
    <w:rsid w:val="00E70FB3"/>
    <w:rsid w:val="00E710AD"/>
    <w:rsid w:val="00E71124"/>
    <w:rsid w:val="00E71200"/>
    <w:rsid w:val="00E715FE"/>
    <w:rsid w:val="00E7167B"/>
    <w:rsid w:val="00E7172A"/>
    <w:rsid w:val="00E71942"/>
    <w:rsid w:val="00E71A8E"/>
    <w:rsid w:val="00E71FD3"/>
    <w:rsid w:val="00E71FD5"/>
    <w:rsid w:val="00E72183"/>
    <w:rsid w:val="00E72186"/>
    <w:rsid w:val="00E7226F"/>
    <w:rsid w:val="00E72922"/>
    <w:rsid w:val="00E729CE"/>
    <w:rsid w:val="00E72A8D"/>
    <w:rsid w:val="00E72D8C"/>
    <w:rsid w:val="00E734EC"/>
    <w:rsid w:val="00E7376B"/>
    <w:rsid w:val="00E74164"/>
    <w:rsid w:val="00E74193"/>
    <w:rsid w:val="00E741F9"/>
    <w:rsid w:val="00E74487"/>
    <w:rsid w:val="00E748D1"/>
    <w:rsid w:val="00E7545F"/>
    <w:rsid w:val="00E7549A"/>
    <w:rsid w:val="00E754F3"/>
    <w:rsid w:val="00E755DD"/>
    <w:rsid w:val="00E759DA"/>
    <w:rsid w:val="00E75C00"/>
    <w:rsid w:val="00E75D6C"/>
    <w:rsid w:val="00E75FB5"/>
    <w:rsid w:val="00E76053"/>
    <w:rsid w:val="00E76582"/>
    <w:rsid w:val="00E76B9D"/>
    <w:rsid w:val="00E773FC"/>
    <w:rsid w:val="00E7770A"/>
    <w:rsid w:val="00E77B24"/>
    <w:rsid w:val="00E77DB7"/>
    <w:rsid w:val="00E77DC5"/>
    <w:rsid w:val="00E77EE6"/>
    <w:rsid w:val="00E80032"/>
    <w:rsid w:val="00E803E7"/>
    <w:rsid w:val="00E8054D"/>
    <w:rsid w:val="00E80A18"/>
    <w:rsid w:val="00E80C67"/>
    <w:rsid w:val="00E80D4A"/>
    <w:rsid w:val="00E8129B"/>
    <w:rsid w:val="00E813C2"/>
    <w:rsid w:val="00E81912"/>
    <w:rsid w:val="00E819A7"/>
    <w:rsid w:val="00E81BF2"/>
    <w:rsid w:val="00E81C33"/>
    <w:rsid w:val="00E82053"/>
    <w:rsid w:val="00E8218B"/>
    <w:rsid w:val="00E82380"/>
    <w:rsid w:val="00E826F5"/>
    <w:rsid w:val="00E8294F"/>
    <w:rsid w:val="00E82A4E"/>
    <w:rsid w:val="00E831F0"/>
    <w:rsid w:val="00E833DD"/>
    <w:rsid w:val="00E83550"/>
    <w:rsid w:val="00E837A7"/>
    <w:rsid w:val="00E83810"/>
    <w:rsid w:val="00E83E8A"/>
    <w:rsid w:val="00E84024"/>
    <w:rsid w:val="00E8416E"/>
    <w:rsid w:val="00E84639"/>
    <w:rsid w:val="00E848ED"/>
    <w:rsid w:val="00E84B98"/>
    <w:rsid w:val="00E84CF0"/>
    <w:rsid w:val="00E84DE1"/>
    <w:rsid w:val="00E851CF"/>
    <w:rsid w:val="00E855EB"/>
    <w:rsid w:val="00E85A29"/>
    <w:rsid w:val="00E85A4D"/>
    <w:rsid w:val="00E85A7A"/>
    <w:rsid w:val="00E85BB6"/>
    <w:rsid w:val="00E85DA1"/>
    <w:rsid w:val="00E85E82"/>
    <w:rsid w:val="00E85F7C"/>
    <w:rsid w:val="00E86069"/>
    <w:rsid w:val="00E8649F"/>
    <w:rsid w:val="00E86756"/>
    <w:rsid w:val="00E867CD"/>
    <w:rsid w:val="00E8693E"/>
    <w:rsid w:val="00E869CB"/>
    <w:rsid w:val="00E86D10"/>
    <w:rsid w:val="00E87563"/>
    <w:rsid w:val="00E876BA"/>
    <w:rsid w:val="00E87E86"/>
    <w:rsid w:val="00E87F70"/>
    <w:rsid w:val="00E90234"/>
    <w:rsid w:val="00E90597"/>
    <w:rsid w:val="00E90688"/>
    <w:rsid w:val="00E906FB"/>
    <w:rsid w:val="00E90795"/>
    <w:rsid w:val="00E90854"/>
    <w:rsid w:val="00E90B29"/>
    <w:rsid w:val="00E90B4D"/>
    <w:rsid w:val="00E91922"/>
    <w:rsid w:val="00E91964"/>
    <w:rsid w:val="00E91A1D"/>
    <w:rsid w:val="00E921A4"/>
    <w:rsid w:val="00E926B1"/>
    <w:rsid w:val="00E929C0"/>
    <w:rsid w:val="00E92A34"/>
    <w:rsid w:val="00E92C69"/>
    <w:rsid w:val="00E92F96"/>
    <w:rsid w:val="00E93728"/>
    <w:rsid w:val="00E939D8"/>
    <w:rsid w:val="00E93B54"/>
    <w:rsid w:val="00E93CA3"/>
    <w:rsid w:val="00E93D8F"/>
    <w:rsid w:val="00E941BC"/>
    <w:rsid w:val="00E9424D"/>
    <w:rsid w:val="00E944A3"/>
    <w:rsid w:val="00E9465A"/>
    <w:rsid w:val="00E948C5"/>
    <w:rsid w:val="00E94EA0"/>
    <w:rsid w:val="00E95003"/>
    <w:rsid w:val="00E9526C"/>
    <w:rsid w:val="00E95307"/>
    <w:rsid w:val="00E95340"/>
    <w:rsid w:val="00E957F8"/>
    <w:rsid w:val="00E95AA6"/>
    <w:rsid w:val="00E9656B"/>
    <w:rsid w:val="00E96D2D"/>
    <w:rsid w:val="00E96DCB"/>
    <w:rsid w:val="00E9739A"/>
    <w:rsid w:val="00E97496"/>
    <w:rsid w:val="00E97A98"/>
    <w:rsid w:val="00EA00C6"/>
    <w:rsid w:val="00EA02D9"/>
    <w:rsid w:val="00EA0DFB"/>
    <w:rsid w:val="00EA0F6E"/>
    <w:rsid w:val="00EA160B"/>
    <w:rsid w:val="00EA1BEF"/>
    <w:rsid w:val="00EA22EE"/>
    <w:rsid w:val="00EA2322"/>
    <w:rsid w:val="00EA23DC"/>
    <w:rsid w:val="00EA26A4"/>
    <w:rsid w:val="00EA2CC8"/>
    <w:rsid w:val="00EA2DB7"/>
    <w:rsid w:val="00EA2F2D"/>
    <w:rsid w:val="00EA304D"/>
    <w:rsid w:val="00EA3063"/>
    <w:rsid w:val="00EA3079"/>
    <w:rsid w:val="00EA338C"/>
    <w:rsid w:val="00EA3A25"/>
    <w:rsid w:val="00EA3AE7"/>
    <w:rsid w:val="00EA3CA6"/>
    <w:rsid w:val="00EA3D45"/>
    <w:rsid w:val="00EA3E49"/>
    <w:rsid w:val="00EA3E92"/>
    <w:rsid w:val="00EA402C"/>
    <w:rsid w:val="00EA4157"/>
    <w:rsid w:val="00EA42C3"/>
    <w:rsid w:val="00EA43C1"/>
    <w:rsid w:val="00EA484E"/>
    <w:rsid w:val="00EA50B6"/>
    <w:rsid w:val="00EA51CB"/>
    <w:rsid w:val="00EA524B"/>
    <w:rsid w:val="00EA5291"/>
    <w:rsid w:val="00EA5476"/>
    <w:rsid w:val="00EA54B8"/>
    <w:rsid w:val="00EA5565"/>
    <w:rsid w:val="00EA58E7"/>
    <w:rsid w:val="00EA5A06"/>
    <w:rsid w:val="00EA5D4E"/>
    <w:rsid w:val="00EA5E3E"/>
    <w:rsid w:val="00EA5EAE"/>
    <w:rsid w:val="00EA61A0"/>
    <w:rsid w:val="00EA63A6"/>
    <w:rsid w:val="00EA64F2"/>
    <w:rsid w:val="00EA6546"/>
    <w:rsid w:val="00EA672B"/>
    <w:rsid w:val="00EA6D2F"/>
    <w:rsid w:val="00EA6FBF"/>
    <w:rsid w:val="00EA745D"/>
    <w:rsid w:val="00EA768E"/>
    <w:rsid w:val="00EA76CF"/>
    <w:rsid w:val="00EA7B85"/>
    <w:rsid w:val="00EA7DA5"/>
    <w:rsid w:val="00EB0187"/>
    <w:rsid w:val="00EB0704"/>
    <w:rsid w:val="00EB0B73"/>
    <w:rsid w:val="00EB123B"/>
    <w:rsid w:val="00EB141A"/>
    <w:rsid w:val="00EB1A49"/>
    <w:rsid w:val="00EB1B54"/>
    <w:rsid w:val="00EB1CCC"/>
    <w:rsid w:val="00EB1CE7"/>
    <w:rsid w:val="00EB2217"/>
    <w:rsid w:val="00EB22E9"/>
    <w:rsid w:val="00EB25AA"/>
    <w:rsid w:val="00EB27F1"/>
    <w:rsid w:val="00EB293E"/>
    <w:rsid w:val="00EB2AB0"/>
    <w:rsid w:val="00EB2EA0"/>
    <w:rsid w:val="00EB33DF"/>
    <w:rsid w:val="00EB3409"/>
    <w:rsid w:val="00EB373E"/>
    <w:rsid w:val="00EB3A21"/>
    <w:rsid w:val="00EB3D8A"/>
    <w:rsid w:val="00EB45B2"/>
    <w:rsid w:val="00EB49C0"/>
    <w:rsid w:val="00EB4D82"/>
    <w:rsid w:val="00EB4D8E"/>
    <w:rsid w:val="00EB4F6A"/>
    <w:rsid w:val="00EB4F8F"/>
    <w:rsid w:val="00EB4F96"/>
    <w:rsid w:val="00EB51F8"/>
    <w:rsid w:val="00EB526F"/>
    <w:rsid w:val="00EB5C75"/>
    <w:rsid w:val="00EB6328"/>
    <w:rsid w:val="00EB6855"/>
    <w:rsid w:val="00EB6882"/>
    <w:rsid w:val="00EB6B04"/>
    <w:rsid w:val="00EB6C48"/>
    <w:rsid w:val="00EB6CA0"/>
    <w:rsid w:val="00EB6DD5"/>
    <w:rsid w:val="00EB74F9"/>
    <w:rsid w:val="00EB773F"/>
    <w:rsid w:val="00EB780F"/>
    <w:rsid w:val="00EB7893"/>
    <w:rsid w:val="00EB7A38"/>
    <w:rsid w:val="00EB7E30"/>
    <w:rsid w:val="00EB7F3D"/>
    <w:rsid w:val="00EC0302"/>
    <w:rsid w:val="00EC053A"/>
    <w:rsid w:val="00EC07FB"/>
    <w:rsid w:val="00EC0AAB"/>
    <w:rsid w:val="00EC0D56"/>
    <w:rsid w:val="00EC1102"/>
    <w:rsid w:val="00EC11FF"/>
    <w:rsid w:val="00EC16CC"/>
    <w:rsid w:val="00EC1D87"/>
    <w:rsid w:val="00EC23F6"/>
    <w:rsid w:val="00EC2A4F"/>
    <w:rsid w:val="00EC2C1C"/>
    <w:rsid w:val="00EC2D96"/>
    <w:rsid w:val="00EC33F4"/>
    <w:rsid w:val="00EC3477"/>
    <w:rsid w:val="00EC352D"/>
    <w:rsid w:val="00EC365D"/>
    <w:rsid w:val="00EC387D"/>
    <w:rsid w:val="00EC3935"/>
    <w:rsid w:val="00EC3A0A"/>
    <w:rsid w:val="00EC4225"/>
    <w:rsid w:val="00EC4349"/>
    <w:rsid w:val="00EC45A7"/>
    <w:rsid w:val="00EC45FD"/>
    <w:rsid w:val="00EC47C6"/>
    <w:rsid w:val="00EC4A9B"/>
    <w:rsid w:val="00EC4F9C"/>
    <w:rsid w:val="00EC4FF2"/>
    <w:rsid w:val="00EC5486"/>
    <w:rsid w:val="00EC551C"/>
    <w:rsid w:val="00EC5658"/>
    <w:rsid w:val="00EC5908"/>
    <w:rsid w:val="00EC5D56"/>
    <w:rsid w:val="00EC6101"/>
    <w:rsid w:val="00EC62A8"/>
    <w:rsid w:val="00EC64C0"/>
    <w:rsid w:val="00EC658F"/>
    <w:rsid w:val="00EC659D"/>
    <w:rsid w:val="00EC6919"/>
    <w:rsid w:val="00EC69AF"/>
    <w:rsid w:val="00EC69F3"/>
    <w:rsid w:val="00EC6A98"/>
    <w:rsid w:val="00EC6E6B"/>
    <w:rsid w:val="00EC74D0"/>
    <w:rsid w:val="00EC78EB"/>
    <w:rsid w:val="00EC7CD1"/>
    <w:rsid w:val="00EC7D53"/>
    <w:rsid w:val="00EC7DBB"/>
    <w:rsid w:val="00ED0327"/>
    <w:rsid w:val="00ED03BC"/>
    <w:rsid w:val="00ED059C"/>
    <w:rsid w:val="00ED072E"/>
    <w:rsid w:val="00ED0862"/>
    <w:rsid w:val="00ED0937"/>
    <w:rsid w:val="00ED0BEA"/>
    <w:rsid w:val="00ED0BFE"/>
    <w:rsid w:val="00ED1907"/>
    <w:rsid w:val="00ED20EE"/>
    <w:rsid w:val="00ED226C"/>
    <w:rsid w:val="00ED2550"/>
    <w:rsid w:val="00ED25E5"/>
    <w:rsid w:val="00ED2F48"/>
    <w:rsid w:val="00ED3178"/>
    <w:rsid w:val="00ED33BB"/>
    <w:rsid w:val="00ED352B"/>
    <w:rsid w:val="00ED3625"/>
    <w:rsid w:val="00ED4089"/>
    <w:rsid w:val="00ED42B2"/>
    <w:rsid w:val="00ED4426"/>
    <w:rsid w:val="00ED44EC"/>
    <w:rsid w:val="00ED4682"/>
    <w:rsid w:val="00ED4975"/>
    <w:rsid w:val="00ED49C8"/>
    <w:rsid w:val="00ED4F14"/>
    <w:rsid w:val="00ED4F25"/>
    <w:rsid w:val="00ED564D"/>
    <w:rsid w:val="00ED5836"/>
    <w:rsid w:val="00ED5EC8"/>
    <w:rsid w:val="00ED65D2"/>
    <w:rsid w:val="00ED6634"/>
    <w:rsid w:val="00ED6795"/>
    <w:rsid w:val="00ED68E0"/>
    <w:rsid w:val="00ED6C59"/>
    <w:rsid w:val="00ED6CDC"/>
    <w:rsid w:val="00ED6D9E"/>
    <w:rsid w:val="00ED6EE9"/>
    <w:rsid w:val="00ED70F9"/>
    <w:rsid w:val="00ED72D0"/>
    <w:rsid w:val="00ED743B"/>
    <w:rsid w:val="00ED751D"/>
    <w:rsid w:val="00ED7885"/>
    <w:rsid w:val="00ED7A99"/>
    <w:rsid w:val="00ED7C27"/>
    <w:rsid w:val="00ED7F71"/>
    <w:rsid w:val="00EE0552"/>
    <w:rsid w:val="00EE07AD"/>
    <w:rsid w:val="00EE0CC9"/>
    <w:rsid w:val="00EE0F22"/>
    <w:rsid w:val="00EE10C2"/>
    <w:rsid w:val="00EE17DB"/>
    <w:rsid w:val="00EE206B"/>
    <w:rsid w:val="00EE22F6"/>
    <w:rsid w:val="00EE2495"/>
    <w:rsid w:val="00EE2CB5"/>
    <w:rsid w:val="00EE2D6C"/>
    <w:rsid w:val="00EE2F05"/>
    <w:rsid w:val="00EE3109"/>
    <w:rsid w:val="00EE32DE"/>
    <w:rsid w:val="00EE3651"/>
    <w:rsid w:val="00EE3712"/>
    <w:rsid w:val="00EE3885"/>
    <w:rsid w:val="00EE3A38"/>
    <w:rsid w:val="00EE3ACB"/>
    <w:rsid w:val="00EE3CF5"/>
    <w:rsid w:val="00EE3F1F"/>
    <w:rsid w:val="00EE3F72"/>
    <w:rsid w:val="00EE4289"/>
    <w:rsid w:val="00EE441B"/>
    <w:rsid w:val="00EE4443"/>
    <w:rsid w:val="00EE482F"/>
    <w:rsid w:val="00EE4B10"/>
    <w:rsid w:val="00EE4BF7"/>
    <w:rsid w:val="00EE5149"/>
    <w:rsid w:val="00EE54AF"/>
    <w:rsid w:val="00EE5616"/>
    <w:rsid w:val="00EE5633"/>
    <w:rsid w:val="00EE5821"/>
    <w:rsid w:val="00EE5831"/>
    <w:rsid w:val="00EE58BF"/>
    <w:rsid w:val="00EE5913"/>
    <w:rsid w:val="00EE643E"/>
    <w:rsid w:val="00EE645A"/>
    <w:rsid w:val="00EE6A76"/>
    <w:rsid w:val="00EE6C4B"/>
    <w:rsid w:val="00EE6CCF"/>
    <w:rsid w:val="00EE7562"/>
    <w:rsid w:val="00EE79A8"/>
    <w:rsid w:val="00EE7A69"/>
    <w:rsid w:val="00EE7A70"/>
    <w:rsid w:val="00EE7D1A"/>
    <w:rsid w:val="00EF0BAD"/>
    <w:rsid w:val="00EF0CB2"/>
    <w:rsid w:val="00EF0D03"/>
    <w:rsid w:val="00EF0E82"/>
    <w:rsid w:val="00EF0EE2"/>
    <w:rsid w:val="00EF15C1"/>
    <w:rsid w:val="00EF16EA"/>
    <w:rsid w:val="00EF1854"/>
    <w:rsid w:val="00EF1875"/>
    <w:rsid w:val="00EF1B44"/>
    <w:rsid w:val="00EF1F45"/>
    <w:rsid w:val="00EF2085"/>
    <w:rsid w:val="00EF21C6"/>
    <w:rsid w:val="00EF223F"/>
    <w:rsid w:val="00EF23C1"/>
    <w:rsid w:val="00EF23D4"/>
    <w:rsid w:val="00EF243B"/>
    <w:rsid w:val="00EF28E9"/>
    <w:rsid w:val="00EF2D73"/>
    <w:rsid w:val="00EF32F7"/>
    <w:rsid w:val="00EF332F"/>
    <w:rsid w:val="00EF3A58"/>
    <w:rsid w:val="00EF3CE3"/>
    <w:rsid w:val="00EF3F59"/>
    <w:rsid w:val="00EF4179"/>
    <w:rsid w:val="00EF43FD"/>
    <w:rsid w:val="00EF4513"/>
    <w:rsid w:val="00EF4828"/>
    <w:rsid w:val="00EF4841"/>
    <w:rsid w:val="00EF4E74"/>
    <w:rsid w:val="00EF4F6A"/>
    <w:rsid w:val="00EF584D"/>
    <w:rsid w:val="00EF592E"/>
    <w:rsid w:val="00EF5ADA"/>
    <w:rsid w:val="00EF5D39"/>
    <w:rsid w:val="00EF5F13"/>
    <w:rsid w:val="00EF5F5D"/>
    <w:rsid w:val="00EF6575"/>
    <w:rsid w:val="00EF6680"/>
    <w:rsid w:val="00EF67EB"/>
    <w:rsid w:val="00EF6FE1"/>
    <w:rsid w:val="00EF7004"/>
    <w:rsid w:val="00EF705D"/>
    <w:rsid w:val="00EF7125"/>
    <w:rsid w:val="00EF761A"/>
    <w:rsid w:val="00EF7724"/>
    <w:rsid w:val="00EF7A40"/>
    <w:rsid w:val="00F000A6"/>
    <w:rsid w:val="00F0014C"/>
    <w:rsid w:val="00F0020A"/>
    <w:rsid w:val="00F00393"/>
    <w:rsid w:val="00F004C6"/>
    <w:rsid w:val="00F00559"/>
    <w:rsid w:val="00F008DB"/>
    <w:rsid w:val="00F01106"/>
    <w:rsid w:val="00F0139E"/>
    <w:rsid w:val="00F0159E"/>
    <w:rsid w:val="00F015E8"/>
    <w:rsid w:val="00F0181A"/>
    <w:rsid w:val="00F01D07"/>
    <w:rsid w:val="00F01D5A"/>
    <w:rsid w:val="00F020EB"/>
    <w:rsid w:val="00F02DF2"/>
    <w:rsid w:val="00F03813"/>
    <w:rsid w:val="00F03945"/>
    <w:rsid w:val="00F039E5"/>
    <w:rsid w:val="00F03B19"/>
    <w:rsid w:val="00F03D3B"/>
    <w:rsid w:val="00F03D90"/>
    <w:rsid w:val="00F03E7A"/>
    <w:rsid w:val="00F0484F"/>
    <w:rsid w:val="00F04952"/>
    <w:rsid w:val="00F04CF8"/>
    <w:rsid w:val="00F05252"/>
    <w:rsid w:val="00F05600"/>
    <w:rsid w:val="00F05D98"/>
    <w:rsid w:val="00F05E98"/>
    <w:rsid w:val="00F05EF5"/>
    <w:rsid w:val="00F06221"/>
    <w:rsid w:val="00F06326"/>
    <w:rsid w:val="00F0643F"/>
    <w:rsid w:val="00F0699A"/>
    <w:rsid w:val="00F07189"/>
    <w:rsid w:val="00F071EA"/>
    <w:rsid w:val="00F0729E"/>
    <w:rsid w:val="00F074D9"/>
    <w:rsid w:val="00F0789F"/>
    <w:rsid w:val="00F079FE"/>
    <w:rsid w:val="00F07AC0"/>
    <w:rsid w:val="00F07B20"/>
    <w:rsid w:val="00F1011C"/>
    <w:rsid w:val="00F102F6"/>
    <w:rsid w:val="00F10437"/>
    <w:rsid w:val="00F10534"/>
    <w:rsid w:val="00F10D26"/>
    <w:rsid w:val="00F10E10"/>
    <w:rsid w:val="00F11024"/>
    <w:rsid w:val="00F11502"/>
    <w:rsid w:val="00F11683"/>
    <w:rsid w:val="00F117EC"/>
    <w:rsid w:val="00F1193A"/>
    <w:rsid w:val="00F11B2B"/>
    <w:rsid w:val="00F11FDD"/>
    <w:rsid w:val="00F121B6"/>
    <w:rsid w:val="00F12757"/>
    <w:rsid w:val="00F1286A"/>
    <w:rsid w:val="00F1299B"/>
    <w:rsid w:val="00F12B24"/>
    <w:rsid w:val="00F12B8F"/>
    <w:rsid w:val="00F1356C"/>
    <w:rsid w:val="00F137E7"/>
    <w:rsid w:val="00F13E02"/>
    <w:rsid w:val="00F14449"/>
    <w:rsid w:val="00F14564"/>
    <w:rsid w:val="00F14B2B"/>
    <w:rsid w:val="00F1504D"/>
    <w:rsid w:val="00F15156"/>
    <w:rsid w:val="00F15222"/>
    <w:rsid w:val="00F1527E"/>
    <w:rsid w:val="00F1578A"/>
    <w:rsid w:val="00F16034"/>
    <w:rsid w:val="00F16272"/>
    <w:rsid w:val="00F16468"/>
    <w:rsid w:val="00F16519"/>
    <w:rsid w:val="00F16949"/>
    <w:rsid w:val="00F16E4F"/>
    <w:rsid w:val="00F16F42"/>
    <w:rsid w:val="00F1727D"/>
    <w:rsid w:val="00F1774D"/>
    <w:rsid w:val="00F17752"/>
    <w:rsid w:val="00F17A18"/>
    <w:rsid w:val="00F17D78"/>
    <w:rsid w:val="00F2143E"/>
    <w:rsid w:val="00F21469"/>
    <w:rsid w:val="00F21487"/>
    <w:rsid w:val="00F215D7"/>
    <w:rsid w:val="00F21802"/>
    <w:rsid w:val="00F21B60"/>
    <w:rsid w:val="00F21C73"/>
    <w:rsid w:val="00F21E6B"/>
    <w:rsid w:val="00F2278D"/>
    <w:rsid w:val="00F22D37"/>
    <w:rsid w:val="00F2319F"/>
    <w:rsid w:val="00F2341F"/>
    <w:rsid w:val="00F23698"/>
    <w:rsid w:val="00F237BA"/>
    <w:rsid w:val="00F23860"/>
    <w:rsid w:val="00F23986"/>
    <w:rsid w:val="00F23D22"/>
    <w:rsid w:val="00F24B73"/>
    <w:rsid w:val="00F24D33"/>
    <w:rsid w:val="00F24FAE"/>
    <w:rsid w:val="00F25125"/>
    <w:rsid w:val="00F25731"/>
    <w:rsid w:val="00F25778"/>
    <w:rsid w:val="00F25AA1"/>
    <w:rsid w:val="00F25B17"/>
    <w:rsid w:val="00F25C13"/>
    <w:rsid w:val="00F25D55"/>
    <w:rsid w:val="00F2615F"/>
    <w:rsid w:val="00F2625E"/>
    <w:rsid w:val="00F266DC"/>
    <w:rsid w:val="00F26AB1"/>
    <w:rsid w:val="00F26E1D"/>
    <w:rsid w:val="00F271CB"/>
    <w:rsid w:val="00F2753F"/>
    <w:rsid w:val="00F275C6"/>
    <w:rsid w:val="00F279D5"/>
    <w:rsid w:val="00F30684"/>
    <w:rsid w:val="00F3088F"/>
    <w:rsid w:val="00F311B4"/>
    <w:rsid w:val="00F31616"/>
    <w:rsid w:val="00F316DA"/>
    <w:rsid w:val="00F31751"/>
    <w:rsid w:val="00F31847"/>
    <w:rsid w:val="00F31EC1"/>
    <w:rsid w:val="00F320BF"/>
    <w:rsid w:val="00F324C7"/>
    <w:rsid w:val="00F32755"/>
    <w:rsid w:val="00F32A96"/>
    <w:rsid w:val="00F32B8F"/>
    <w:rsid w:val="00F32BD0"/>
    <w:rsid w:val="00F32CCA"/>
    <w:rsid w:val="00F32DB5"/>
    <w:rsid w:val="00F33151"/>
    <w:rsid w:val="00F333F5"/>
    <w:rsid w:val="00F3373C"/>
    <w:rsid w:val="00F33A29"/>
    <w:rsid w:val="00F33D14"/>
    <w:rsid w:val="00F340F0"/>
    <w:rsid w:val="00F34341"/>
    <w:rsid w:val="00F34363"/>
    <w:rsid w:val="00F344AE"/>
    <w:rsid w:val="00F34941"/>
    <w:rsid w:val="00F34F44"/>
    <w:rsid w:val="00F34FCF"/>
    <w:rsid w:val="00F35516"/>
    <w:rsid w:val="00F355F3"/>
    <w:rsid w:val="00F35615"/>
    <w:rsid w:val="00F35666"/>
    <w:rsid w:val="00F35994"/>
    <w:rsid w:val="00F35A95"/>
    <w:rsid w:val="00F35B6E"/>
    <w:rsid w:val="00F3607E"/>
    <w:rsid w:val="00F36321"/>
    <w:rsid w:val="00F36330"/>
    <w:rsid w:val="00F3649A"/>
    <w:rsid w:val="00F365B1"/>
    <w:rsid w:val="00F36728"/>
    <w:rsid w:val="00F36CAD"/>
    <w:rsid w:val="00F36E69"/>
    <w:rsid w:val="00F36FB2"/>
    <w:rsid w:val="00F37018"/>
    <w:rsid w:val="00F3710C"/>
    <w:rsid w:val="00F3722B"/>
    <w:rsid w:val="00F37442"/>
    <w:rsid w:val="00F37592"/>
    <w:rsid w:val="00F37F16"/>
    <w:rsid w:val="00F40359"/>
    <w:rsid w:val="00F406F8"/>
    <w:rsid w:val="00F40ECD"/>
    <w:rsid w:val="00F40EF3"/>
    <w:rsid w:val="00F41099"/>
    <w:rsid w:val="00F4127F"/>
    <w:rsid w:val="00F413F2"/>
    <w:rsid w:val="00F41403"/>
    <w:rsid w:val="00F4143D"/>
    <w:rsid w:val="00F41FC8"/>
    <w:rsid w:val="00F4218D"/>
    <w:rsid w:val="00F4238F"/>
    <w:rsid w:val="00F4262D"/>
    <w:rsid w:val="00F42702"/>
    <w:rsid w:val="00F42916"/>
    <w:rsid w:val="00F42AA9"/>
    <w:rsid w:val="00F42F57"/>
    <w:rsid w:val="00F4359A"/>
    <w:rsid w:val="00F4363A"/>
    <w:rsid w:val="00F4427F"/>
    <w:rsid w:val="00F44297"/>
    <w:rsid w:val="00F44644"/>
    <w:rsid w:val="00F44B71"/>
    <w:rsid w:val="00F44FDF"/>
    <w:rsid w:val="00F4512A"/>
    <w:rsid w:val="00F45C5F"/>
    <w:rsid w:val="00F461DC"/>
    <w:rsid w:val="00F46632"/>
    <w:rsid w:val="00F469B6"/>
    <w:rsid w:val="00F469F2"/>
    <w:rsid w:val="00F46CC5"/>
    <w:rsid w:val="00F46D1C"/>
    <w:rsid w:val="00F4709E"/>
    <w:rsid w:val="00F4725B"/>
    <w:rsid w:val="00F47769"/>
    <w:rsid w:val="00F477D0"/>
    <w:rsid w:val="00F47CC7"/>
    <w:rsid w:val="00F47CF1"/>
    <w:rsid w:val="00F47D80"/>
    <w:rsid w:val="00F47F38"/>
    <w:rsid w:val="00F47FA5"/>
    <w:rsid w:val="00F50235"/>
    <w:rsid w:val="00F5057D"/>
    <w:rsid w:val="00F50721"/>
    <w:rsid w:val="00F50A67"/>
    <w:rsid w:val="00F50B89"/>
    <w:rsid w:val="00F50BC6"/>
    <w:rsid w:val="00F50E66"/>
    <w:rsid w:val="00F50F8C"/>
    <w:rsid w:val="00F51037"/>
    <w:rsid w:val="00F51056"/>
    <w:rsid w:val="00F51074"/>
    <w:rsid w:val="00F513CA"/>
    <w:rsid w:val="00F515DC"/>
    <w:rsid w:val="00F51766"/>
    <w:rsid w:val="00F51AC6"/>
    <w:rsid w:val="00F51E1E"/>
    <w:rsid w:val="00F51F5E"/>
    <w:rsid w:val="00F520EA"/>
    <w:rsid w:val="00F5223C"/>
    <w:rsid w:val="00F523B9"/>
    <w:rsid w:val="00F5259C"/>
    <w:rsid w:val="00F527A0"/>
    <w:rsid w:val="00F527A3"/>
    <w:rsid w:val="00F527A6"/>
    <w:rsid w:val="00F528E8"/>
    <w:rsid w:val="00F52B20"/>
    <w:rsid w:val="00F53508"/>
    <w:rsid w:val="00F5351D"/>
    <w:rsid w:val="00F536DC"/>
    <w:rsid w:val="00F53959"/>
    <w:rsid w:val="00F53A35"/>
    <w:rsid w:val="00F53A8E"/>
    <w:rsid w:val="00F540B5"/>
    <w:rsid w:val="00F54253"/>
    <w:rsid w:val="00F544AD"/>
    <w:rsid w:val="00F546A5"/>
    <w:rsid w:val="00F548CC"/>
    <w:rsid w:val="00F54AE9"/>
    <w:rsid w:val="00F5508D"/>
    <w:rsid w:val="00F556E9"/>
    <w:rsid w:val="00F557D0"/>
    <w:rsid w:val="00F55954"/>
    <w:rsid w:val="00F55AD7"/>
    <w:rsid w:val="00F55F98"/>
    <w:rsid w:val="00F56151"/>
    <w:rsid w:val="00F561F4"/>
    <w:rsid w:val="00F567D9"/>
    <w:rsid w:val="00F56A45"/>
    <w:rsid w:val="00F56B30"/>
    <w:rsid w:val="00F56C10"/>
    <w:rsid w:val="00F57536"/>
    <w:rsid w:val="00F577E1"/>
    <w:rsid w:val="00F5788A"/>
    <w:rsid w:val="00F57BE7"/>
    <w:rsid w:val="00F57CE9"/>
    <w:rsid w:val="00F57DF8"/>
    <w:rsid w:val="00F57F6A"/>
    <w:rsid w:val="00F60019"/>
    <w:rsid w:val="00F6023F"/>
    <w:rsid w:val="00F60465"/>
    <w:rsid w:val="00F60D57"/>
    <w:rsid w:val="00F60FE0"/>
    <w:rsid w:val="00F618AC"/>
    <w:rsid w:val="00F61A4F"/>
    <w:rsid w:val="00F61AE7"/>
    <w:rsid w:val="00F61CD5"/>
    <w:rsid w:val="00F61D00"/>
    <w:rsid w:val="00F61E33"/>
    <w:rsid w:val="00F61F88"/>
    <w:rsid w:val="00F624C8"/>
    <w:rsid w:val="00F62708"/>
    <w:rsid w:val="00F62ADC"/>
    <w:rsid w:val="00F62CEC"/>
    <w:rsid w:val="00F6312F"/>
    <w:rsid w:val="00F634EB"/>
    <w:rsid w:val="00F63564"/>
    <w:rsid w:val="00F6371A"/>
    <w:rsid w:val="00F63A24"/>
    <w:rsid w:val="00F63A59"/>
    <w:rsid w:val="00F63CA4"/>
    <w:rsid w:val="00F642EF"/>
    <w:rsid w:val="00F64450"/>
    <w:rsid w:val="00F644FC"/>
    <w:rsid w:val="00F64CBF"/>
    <w:rsid w:val="00F64E99"/>
    <w:rsid w:val="00F65311"/>
    <w:rsid w:val="00F65323"/>
    <w:rsid w:val="00F653BA"/>
    <w:rsid w:val="00F654E1"/>
    <w:rsid w:val="00F654EC"/>
    <w:rsid w:val="00F656BF"/>
    <w:rsid w:val="00F65A2C"/>
    <w:rsid w:val="00F65D0C"/>
    <w:rsid w:val="00F65FA4"/>
    <w:rsid w:val="00F66079"/>
    <w:rsid w:val="00F663DE"/>
    <w:rsid w:val="00F6664E"/>
    <w:rsid w:val="00F66655"/>
    <w:rsid w:val="00F66709"/>
    <w:rsid w:val="00F66745"/>
    <w:rsid w:val="00F66952"/>
    <w:rsid w:val="00F66AED"/>
    <w:rsid w:val="00F66C8E"/>
    <w:rsid w:val="00F66E9E"/>
    <w:rsid w:val="00F66EE3"/>
    <w:rsid w:val="00F670FE"/>
    <w:rsid w:val="00F6763A"/>
    <w:rsid w:val="00F67AA8"/>
    <w:rsid w:val="00F67EDC"/>
    <w:rsid w:val="00F705F1"/>
    <w:rsid w:val="00F708C1"/>
    <w:rsid w:val="00F7096E"/>
    <w:rsid w:val="00F70A5C"/>
    <w:rsid w:val="00F70AD0"/>
    <w:rsid w:val="00F70B77"/>
    <w:rsid w:val="00F70BBE"/>
    <w:rsid w:val="00F70E54"/>
    <w:rsid w:val="00F7135E"/>
    <w:rsid w:val="00F716CE"/>
    <w:rsid w:val="00F720CE"/>
    <w:rsid w:val="00F722A7"/>
    <w:rsid w:val="00F731C4"/>
    <w:rsid w:val="00F73331"/>
    <w:rsid w:val="00F733C3"/>
    <w:rsid w:val="00F7366F"/>
    <w:rsid w:val="00F7376F"/>
    <w:rsid w:val="00F73D4A"/>
    <w:rsid w:val="00F73E1A"/>
    <w:rsid w:val="00F73E98"/>
    <w:rsid w:val="00F73FD4"/>
    <w:rsid w:val="00F74763"/>
    <w:rsid w:val="00F74DC6"/>
    <w:rsid w:val="00F74DFC"/>
    <w:rsid w:val="00F74FEB"/>
    <w:rsid w:val="00F75484"/>
    <w:rsid w:val="00F754B0"/>
    <w:rsid w:val="00F75523"/>
    <w:rsid w:val="00F756B4"/>
    <w:rsid w:val="00F75C4D"/>
    <w:rsid w:val="00F75C59"/>
    <w:rsid w:val="00F75FAD"/>
    <w:rsid w:val="00F76325"/>
    <w:rsid w:val="00F767A0"/>
    <w:rsid w:val="00F76836"/>
    <w:rsid w:val="00F76EB4"/>
    <w:rsid w:val="00F7706F"/>
    <w:rsid w:val="00F7718C"/>
    <w:rsid w:val="00F80380"/>
    <w:rsid w:val="00F80CE2"/>
    <w:rsid w:val="00F8142C"/>
    <w:rsid w:val="00F81526"/>
    <w:rsid w:val="00F81572"/>
    <w:rsid w:val="00F81BB4"/>
    <w:rsid w:val="00F81E14"/>
    <w:rsid w:val="00F81F51"/>
    <w:rsid w:val="00F82243"/>
    <w:rsid w:val="00F822F1"/>
    <w:rsid w:val="00F82587"/>
    <w:rsid w:val="00F8270D"/>
    <w:rsid w:val="00F82711"/>
    <w:rsid w:val="00F8275D"/>
    <w:rsid w:val="00F829D1"/>
    <w:rsid w:val="00F82B69"/>
    <w:rsid w:val="00F82C0A"/>
    <w:rsid w:val="00F82CC3"/>
    <w:rsid w:val="00F8310F"/>
    <w:rsid w:val="00F83295"/>
    <w:rsid w:val="00F83610"/>
    <w:rsid w:val="00F83ADA"/>
    <w:rsid w:val="00F83AEE"/>
    <w:rsid w:val="00F83C8D"/>
    <w:rsid w:val="00F83CCB"/>
    <w:rsid w:val="00F83F79"/>
    <w:rsid w:val="00F8407A"/>
    <w:rsid w:val="00F84228"/>
    <w:rsid w:val="00F84B47"/>
    <w:rsid w:val="00F851C3"/>
    <w:rsid w:val="00F85896"/>
    <w:rsid w:val="00F85C13"/>
    <w:rsid w:val="00F865CB"/>
    <w:rsid w:val="00F86756"/>
    <w:rsid w:val="00F86DE6"/>
    <w:rsid w:val="00F86EB8"/>
    <w:rsid w:val="00F86FCA"/>
    <w:rsid w:val="00F87443"/>
    <w:rsid w:val="00F87604"/>
    <w:rsid w:val="00F87677"/>
    <w:rsid w:val="00F87710"/>
    <w:rsid w:val="00F90A81"/>
    <w:rsid w:val="00F90AEA"/>
    <w:rsid w:val="00F91241"/>
    <w:rsid w:val="00F916FD"/>
    <w:rsid w:val="00F91E36"/>
    <w:rsid w:val="00F91EFE"/>
    <w:rsid w:val="00F91F33"/>
    <w:rsid w:val="00F9229E"/>
    <w:rsid w:val="00F9237D"/>
    <w:rsid w:val="00F9239E"/>
    <w:rsid w:val="00F92580"/>
    <w:rsid w:val="00F92D41"/>
    <w:rsid w:val="00F92E30"/>
    <w:rsid w:val="00F93472"/>
    <w:rsid w:val="00F93539"/>
    <w:rsid w:val="00F9359F"/>
    <w:rsid w:val="00F93A5B"/>
    <w:rsid w:val="00F94423"/>
    <w:rsid w:val="00F944C5"/>
    <w:rsid w:val="00F94671"/>
    <w:rsid w:val="00F94954"/>
    <w:rsid w:val="00F94E5A"/>
    <w:rsid w:val="00F94EEE"/>
    <w:rsid w:val="00F950B8"/>
    <w:rsid w:val="00F95216"/>
    <w:rsid w:val="00F95346"/>
    <w:rsid w:val="00F9557D"/>
    <w:rsid w:val="00F955DD"/>
    <w:rsid w:val="00F95747"/>
    <w:rsid w:val="00F95A9F"/>
    <w:rsid w:val="00F95B9D"/>
    <w:rsid w:val="00F95E00"/>
    <w:rsid w:val="00F95E69"/>
    <w:rsid w:val="00F95EDB"/>
    <w:rsid w:val="00F9659B"/>
    <w:rsid w:val="00F96780"/>
    <w:rsid w:val="00F968B5"/>
    <w:rsid w:val="00F968BF"/>
    <w:rsid w:val="00F96AAF"/>
    <w:rsid w:val="00F9769F"/>
    <w:rsid w:val="00F97B1E"/>
    <w:rsid w:val="00F97C70"/>
    <w:rsid w:val="00F97D4B"/>
    <w:rsid w:val="00F97EC6"/>
    <w:rsid w:val="00FA017C"/>
    <w:rsid w:val="00FA06A4"/>
    <w:rsid w:val="00FA0777"/>
    <w:rsid w:val="00FA0D72"/>
    <w:rsid w:val="00FA0FDA"/>
    <w:rsid w:val="00FA1589"/>
    <w:rsid w:val="00FA1E82"/>
    <w:rsid w:val="00FA2A9E"/>
    <w:rsid w:val="00FA2B56"/>
    <w:rsid w:val="00FA2BBD"/>
    <w:rsid w:val="00FA2D2A"/>
    <w:rsid w:val="00FA3219"/>
    <w:rsid w:val="00FA34B3"/>
    <w:rsid w:val="00FA351F"/>
    <w:rsid w:val="00FA35EC"/>
    <w:rsid w:val="00FA3D79"/>
    <w:rsid w:val="00FA41DC"/>
    <w:rsid w:val="00FA4A3D"/>
    <w:rsid w:val="00FA4D71"/>
    <w:rsid w:val="00FA50D7"/>
    <w:rsid w:val="00FA5288"/>
    <w:rsid w:val="00FA5354"/>
    <w:rsid w:val="00FA5496"/>
    <w:rsid w:val="00FA5903"/>
    <w:rsid w:val="00FA5C59"/>
    <w:rsid w:val="00FA6213"/>
    <w:rsid w:val="00FA65C9"/>
    <w:rsid w:val="00FA67DE"/>
    <w:rsid w:val="00FA6932"/>
    <w:rsid w:val="00FA6F0F"/>
    <w:rsid w:val="00FA7280"/>
    <w:rsid w:val="00FA73DD"/>
    <w:rsid w:val="00FA75F4"/>
    <w:rsid w:val="00FA7E0E"/>
    <w:rsid w:val="00FA7F4B"/>
    <w:rsid w:val="00FB03CA"/>
    <w:rsid w:val="00FB0474"/>
    <w:rsid w:val="00FB09D4"/>
    <w:rsid w:val="00FB0A6D"/>
    <w:rsid w:val="00FB0A9C"/>
    <w:rsid w:val="00FB0AFE"/>
    <w:rsid w:val="00FB0E69"/>
    <w:rsid w:val="00FB1396"/>
    <w:rsid w:val="00FB169C"/>
    <w:rsid w:val="00FB1A58"/>
    <w:rsid w:val="00FB1E5E"/>
    <w:rsid w:val="00FB1ED9"/>
    <w:rsid w:val="00FB253B"/>
    <w:rsid w:val="00FB28EC"/>
    <w:rsid w:val="00FB2BE7"/>
    <w:rsid w:val="00FB2F8D"/>
    <w:rsid w:val="00FB3422"/>
    <w:rsid w:val="00FB3747"/>
    <w:rsid w:val="00FB3E94"/>
    <w:rsid w:val="00FB3F1E"/>
    <w:rsid w:val="00FB4088"/>
    <w:rsid w:val="00FB4239"/>
    <w:rsid w:val="00FB4350"/>
    <w:rsid w:val="00FB4682"/>
    <w:rsid w:val="00FB49B4"/>
    <w:rsid w:val="00FB4B54"/>
    <w:rsid w:val="00FB4F64"/>
    <w:rsid w:val="00FB537D"/>
    <w:rsid w:val="00FB57B2"/>
    <w:rsid w:val="00FB5C59"/>
    <w:rsid w:val="00FB5EF9"/>
    <w:rsid w:val="00FB5F0A"/>
    <w:rsid w:val="00FB6145"/>
    <w:rsid w:val="00FB618F"/>
    <w:rsid w:val="00FB6213"/>
    <w:rsid w:val="00FB6A21"/>
    <w:rsid w:val="00FB70B0"/>
    <w:rsid w:val="00FB7A87"/>
    <w:rsid w:val="00FB7C1F"/>
    <w:rsid w:val="00FB7EA1"/>
    <w:rsid w:val="00FC04B0"/>
    <w:rsid w:val="00FC0D9C"/>
    <w:rsid w:val="00FC1162"/>
    <w:rsid w:val="00FC1718"/>
    <w:rsid w:val="00FC2119"/>
    <w:rsid w:val="00FC22D7"/>
    <w:rsid w:val="00FC27DE"/>
    <w:rsid w:val="00FC2A0D"/>
    <w:rsid w:val="00FC2D8E"/>
    <w:rsid w:val="00FC2D91"/>
    <w:rsid w:val="00FC2E1B"/>
    <w:rsid w:val="00FC2F54"/>
    <w:rsid w:val="00FC33FB"/>
    <w:rsid w:val="00FC382C"/>
    <w:rsid w:val="00FC3AB2"/>
    <w:rsid w:val="00FC3FA6"/>
    <w:rsid w:val="00FC471E"/>
    <w:rsid w:val="00FC48DA"/>
    <w:rsid w:val="00FC4E81"/>
    <w:rsid w:val="00FC534D"/>
    <w:rsid w:val="00FC594C"/>
    <w:rsid w:val="00FC5958"/>
    <w:rsid w:val="00FC5E8D"/>
    <w:rsid w:val="00FC5EDE"/>
    <w:rsid w:val="00FC5EE7"/>
    <w:rsid w:val="00FC6251"/>
    <w:rsid w:val="00FC634C"/>
    <w:rsid w:val="00FC6559"/>
    <w:rsid w:val="00FC6B13"/>
    <w:rsid w:val="00FC70E3"/>
    <w:rsid w:val="00FC72B1"/>
    <w:rsid w:val="00FC72DD"/>
    <w:rsid w:val="00FC732A"/>
    <w:rsid w:val="00FC7AD0"/>
    <w:rsid w:val="00FC7C23"/>
    <w:rsid w:val="00FD0358"/>
    <w:rsid w:val="00FD0511"/>
    <w:rsid w:val="00FD07F9"/>
    <w:rsid w:val="00FD08A9"/>
    <w:rsid w:val="00FD0AD7"/>
    <w:rsid w:val="00FD0D98"/>
    <w:rsid w:val="00FD0F94"/>
    <w:rsid w:val="00FD1015"/>
    <w:rsid w:val="00FD1120"/>
    <w:rsid w:val="00FD1420"/>
    <w:rsid w:val="00FD142B"/>
    <w:rsid w:val="00FD1633"/>
    <w:rsid w:val="00FD1643"/>
    <w:rsid w:val="00FD17B9"/>
    <w:rsid w:val="00FD1875"/>
    <w:rsid w:val="00FD1B3F"/>
    <w:rsid w:val="00FD22ED"/>
    <w:rsid w:val="00FD2344"/>
    <w:rsid w:val="00FD2364"/>
    <w:rsid w:val="00FD28AF"/>
    <w:rsid w:val="00FD2DAF"/>
    <w:rsid w:val="00FD3095"/>
    <w:rsid w:val="00FD369E"/>
    <w:rsid w:val="00FD3C5A"/>
    <w:rsid w:val="00FD3CF5"/>
    <w:rsid w:val="00FD442C"/>
    <w:rsid w:val="00FD446F"/>
    <w:rsid w:val="00FD456B"/>
    <w:rsid w:val="00FD4835"/>
    <w:rsid w:val="00FD4A77"/>
    <w:rsid w:val="00FD5270"/>
    <w:rsid w:val="00FD52E2"/>
    <w:rsid w:val="00FD5412"/>
    <w:rsid w:val="00FD567B"/>
    <w:rsid w:val="00FD5838"/>
    <w:rsid w:val="00FD5978"/>
    <w:rsid w:val="00FD5B1D"/>
    <w:rsid w:val="00FD5E64"/>
    <w:rsid w:val="00FD5EA3"/>
    <w:rsid w:val="00FD64D8"/>
    <w:rsid w:val="00FD6BDE"/>
    <w:rsid w:val="00FD6D75"/>
    <w:rsid w:val="00FD6FE6"/>
    <w:rsid w:val="00FD7796"/>
    <w:rsid w:val="00FD79B1"/>
    <w:rsid w:val="00FD7DEF"/>
    <w:rsid w:val="00FE0197"/>
    <w:rsid w:val="00FE099A"/>
    <w:rsid w:val="00FE0C7E"/>
    <w:rsid w:val="00FE1366"/>
    <w:rsid w:val="00FE171B"/>
    <w:rsid w:val="00FE1783"/>
    <w:rsid w:val="00FE1F7F"/>
    <w:rsid w:val="00FE2153"/>
    <w:rsid w:val="00FE219C"/>
    <w:rsid w:val="00FE24C0"/>
    <w:rsid w:val="00FE2871"/>
    <w:rsid w:val="00FE2BD7"/>
    <w:rsid w:val="00FE313C"/>
    <w:rsid w:val="00FE31F7"/>
    <w:rsid w:val="00FE33FF"/>
    <w:rsid w:val="00FE356A"/>
    <w:rsid w:val="00FE3571"/>
    <w:rsid w:val="00FE3CD9"/>
    <w:rsid w:val="00FE4020"/>
    <w:rsid w:val="00FE42FE"/>
    <w:rsid w:val="00FE48AF"/>
    <w:rsid w:val="00FE4A96"/>
    <w:rsid w:val="00FE4D56"/>
    <w:rsid w:val="00FE4D5A"/>
    <w:rsid w:val="00FE513C"/>
    <w:rsid w:val="00FE521E"/>
    <w:rsid w:val="00FE5425"/>
    <w:rsid w:val="00FE543A"/>
    <w:rsid w:val="00FE5571"/>
    <w:rsid w:val="00FE56B5"/>
    <w:rsid w:val="00FE56D7"/>
    <w:rsid w:val="00FE5735"/>
    <w:rsid w:val="00FE57C1"/>
    <w:rsid w:val="00FE5909"/>
    <w:rsid w:val="00FE5952"/>
    <w:rsid w:val="00FE5A4E"/>
    <w:rsid w:val="00FE5E80"/>
    <w:rsid w:val="00FE61B9"/>
    <w:rsid w:val="00FE6548"/>
    <w:rsid w:val="00FE67AD"/>
    <w:rsid w:val="00FE68AB"/>
    <w:rsid w:val="00FE6DE0"/>
    <w:rsid w:val="00FE70FF"/>
    <w:rsid w:val="00FE7188"/>
    <w:rsid w:val="00FE7677"/>
    <w:rsid w:val="00FE78B4"/>
    <w:rsid w:val="00FE79C3"/>
    <w:rsid w:val="00FE7A50"/>
    <w:rsid w:val="00FF0713"/>
    <w:rsid w:val="00FF0766"/>
    <w:rsid w:val="00FF09F3"/>
    <w:rsid w:val="00FF0A49"/>
    <w:rsid w:val="00FF0B8E"/>
    <w:rsid w:val="00FF0ECE"/>
    <w:rsid w:val="00FF1480"/>
    <w:rsid w:val="00FF14DA"/>
    <w:rsid w:val="00FF16B3"/>
    <w:rsid w:val="00FF1D6E"/>
    <w:rsid w:val="00FF212F"/>
    <w:rsid w:val="00FF2B80"/>
    <w:rsid w:val="00FF2B93"/>
    <w:rsid w:val="00FF2E81"/>
    <w:rsid w:val="00FF3403"/>
    <w:rsid w:val="00FF3574"/>
    <w:rsid w:val="00FF366F"/>
    <w:rsid w:val="00FF3B19"/>
    <w:rsid w:val="00FF3FD7"/>
    <w:rsid w:val="00FF4202"/>
    <w:rsid w:val="00FF42D8"/>
    <w:rsid w:val="00FF42E9"/>
    <w:rsid w:val="00FF4374"/>
    <w:rsid w:val="00FF4594"/>
    <w:rsid w:val="00FF4D3F"/>
    <w:rsid w:val="00FF4FF4"/>
    <w:rsid w:val="00FF5011"/>
    <w:rsid w:val="00FF5219"/>
    <w:rsid w:val="00FF5289"/>
    <w:rsid w:val="00FF52E1"/>
    <w:rsid w:val="00FF53AD"/>
    <w:rsid w:val="00FF580F"/>
    <w:rsid w:val="00FF58CE"/>
    <w:rsid w:val="00FF591C"/>
    <w:rsid w:val="00FF5D14"/>
    <w:rsid w:val="00FF5E63"/>
    <w:rsid w:val="00FF639D"/>
    <w:rsid w:val="00FF6A6B"/>
    <w:rsid w:val="00FF6B02"/>
    <w:rsid w:val="00FF6BD7"/>
    <w:rsid w:val="00FF6CA2"/>
    <w:rsid w:val="00FF6D2D"/>
    <w:rsid w:val="00FF6F0B"/>
    <w:rsid w:val="00FF745B"/>
    <w:rsid w:val="00FF7A73"/>
    <w:rsid w:val="00FF7D68"/>
    <w:rsid w:val="00FF7DD0"/>
    <w:rsid w:val="00FF7FF1"/>
    <w:rsid w:val="00FF7FFB"/>
    <w:rsid w:val="3BCF9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600" w:firstLineChars="200"/>
      <w:jc w:val="both"/>
      <w:textAlignment w:val="center"/>
    </w:pPr>
    <w:rPr>
      <w:rFonts w:ascii="Times New Roman" w:hAnsi="Times New Roman" w:eastAsia="方正仿宋_GBK" w:cs="Times New Roman"/>
      <w:kern w:val="2"/>
      <w:sz w:val="30"/>
      <w:szCs w:val="30"/>
      <w:lang w:val="en-US" w:eastAsia="zh-CN" w:bidi="ar-SA"/>
    </w:rPr>
  </w:style>
  <w:style w:type="paragraph" w:styleId="2">
    <w:name w:val="heading 1"/>
    <w:basedOn w:val="1"/>
    <w:next w:val="1"/>
    <w:link w:val="16"/>
    <w:qFormat/>
    <w:uiPriority w:val="0"/>
    <w:pPr>
      <w:ind w:left="600" w:firstLine="0" w:firstLineChars="0"/>
      <w:outlineLvl w:val="0"/>
    </w:pPr>
    <w:rPr>
      <w:rFonts w:ascii="黑体" w:eastAsia="黑体"/>
    </w:rPr>
  </w:style>
  <w:style w:type="paragraph" w:styleId="3">
    <w:name w:val="heading 2"/>
    <w:basedOn w:val="1"/>
    <w:next w:val="1"/>
    <w:link w:val="17"/>
    <w:qFormat/>
    <w:uiPriority w:val="0"/>
    <w:pPr>
      <w:outlineLvl w:val="1"/>
    </w:pPr>
    <w:rPr>
      <w:rFonts w:ascii="方正楷体_GBK" w:eastAsia="方正楷体_GBK"/>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pPr>
      <w:spacing w:line="240" w:lineRule="auto"/>
    </w:pPr>
    <w:rPr>
      <w:sz w:val="18"/>
      <w:szCs w:val="18"/>
    </w:rPr>
  </w:style>
  <w:style w:type="paragraph" w:styleId="5">
    <w:name w:val="footer"/>
    <w:basedOn w:val="1"/>
    <w:link w:val="18"/>
    <w:qFormat/>
    <w:uiPriority w:val="99"/>
    <w:pPr>
      <w:tabs>
        <w:tab w:val="center" w:pos="4153"/>
        <w:tab w:val="right" w:pos="8306"/>
      </w:tabs>
      <w:snapToGrid w:val="0"/>
      <w:jc w:val="left"/>
    </w:pPr>
    <w:rPr>
      <w:rFonts w:eastAsia="宋体"/>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toc 1"/>
    <w:basedOn w:val="1"/>
    <w:next w:val="1"/>
    <w:qFormat/>
    <w:uiPriority w:val="39"/>
  </w:style>
  <w:style w:type="paragraph" w:styleId="8">
    <w:name w:val="Subtitle"/>
    <w:basedOn w:val="1"/>
    <w:next w:val="1"/>
    <w:link w:val="20"/>
    <w:qFormat/>
    <w:uiPriority w:val="0"/>
    <w:pPr>
      <w:snapToGrid w:val="0"/>
      <w:spacing w:line="520" w:lineRule="exact"/>
      <w:ind w:firstLine="640"/>
      <w:jc w:val="center"/>
      <w:outlineLvl w:val="3"/>
    </w:pPr>
    <w:rPr>
      <w:rFonts w:eastAsia="黑体"/>
      <w:bCs/>
      <w:color w:val="000000"/>
      <w:sz w:val="32"/>
      <w:szCs w:val="32"/>
    </w:rPr>
  </w:style>
  <w:style w:type="paragraph" w:styleId="9">
    <w:name w:val="toc 2"/>
    <w:basedOn w:val="1"/>
    <w:next w:val="1"/>
    <w:qFormat/>
    <w:uiPriority w:val="39"/>
    <w:pPr>
      <w:tabs>
        <w:tab w:val="left" w:pos="1730"/>
        <w:tab w:val="right" w:leader="dot" w:pos="8948"/>
      </w:tabs>
      <w:ind w:left="600" w:leftChars="200"/>
    </w:pPr>
  </w:style>
  <w:style w:type="paragraph" w:styleId="10">
    <w:name w:val="Title"/>
    <w:basedOn w:val="1"/>
    <w:next w:val="1"/>
    <w:link w:val="21"/>
    <w:qFormat/>
    <w:uiPriority w:val="0"/>
    <w:pPr>
      <w:spacing w:line="580" w:lineRule="exact"/>
      <w:ind w:firstLine="880"/>
      <w:jc w:val="center"/>
    </w:pPr>
    <w:rPr>
      <w:rFonts w:eastAsia="黑体"/>
      <w:color w:val="000000"/>
      <w:sz w:val="44"/>
      <w:szCs w:val="44"/>
    </w:rPr>
  </w:style>
  <w:style w:type="character" w:styleId="13">
    <w:name w:val="Hyperlink"/>
    <w:unhideWhenUsed/>
    <w:qFormat/>
    <w:uiPriority w:val="99"/>
    <w:rPr>
      <w:color w:val="0563C1"/>
      <w:u w:val="single"/>
    </w:rPr>
  </w:style>
  <w:style w:type="paragraph" w:customStyle="1" w:styleId="14">
    <w:name w:val="仿宋正文"/>
    <w:basedOn w:val="1"/>
    <w:qFormat/>
    <w:uiPriority w:val="0"/>
    <w:pPr>
      <w:spacing w:line="620" w:lineRule="exact"/>
      <w:ind w:firstLine="200"/>
      <w:textAlignment w:val="auto"/>
    </w:pPr>
    <w:rPr>
      <w:rFonts w:ascii="仿宋_GB2312" w:hAnsi="仿宋_GB2312" w:eastAsia="仿宋_GB2312" w:cstheme="minorBidi"/>
      <w:sz w:val="32"/>
      <w:szCs w:val="22"/>
    </w:rPr>
  </w:style>
  <w:style w:type="paragraph" w:customStyle="1" w:styleId="15">
    <w:name w:val="委印文"/>
    <w:basedOn w:val="1"/>
    <w:qFormat/>
    <w:uiPriority w:val="0"/>
    <w:pPr>
      <w:ind w:firstLine="200"/>
      <w:textAlignment w:val="auto"/>
    </w:pPr>
    <w:rPr>
      <w:rFonts w:cstheme="minorBidi"/>
      <w:szCs w:val="22"/>
    </w:rPr>
  </w:style>
  <w:style w:type="character" w:customStyle="1" w:styleId="16">
    <w:name w:val="标题 1 Char"/>
    <w:basedOn w:val="12"/>
    <w:link w:val="2"/>
    <w:qFormat/>
    <w:uiPriority w:val="0"/>
    <w:rPr>
      <w:rFonts w:ascii="黑体" w:hAnsi="Times New Roman" w:eastAsia="黑体" w:cs="Times New Roman"/>
      <w:sz w:val="30"/>
      <w:szCs w:val="30"/>
    </w:rPr>
  </w:style>
  <w:style w:type="character" w:customStyle="1" w:styleId="17">
    <w:name w:val="标题 2 Char"/>
    <w:basedOn w:val="12"/>
    <w:link w:val="3"/>
    <w:qFormat/>
    <w:uiPriority w:val="0"/>
    <w:rPr>
      <w:rFonts w:ascii="方正楷体_GBK" w:hAnsi="Times New Roman" w:eastAsia="方正楷体_GBK" w:cs="Times New Roman"/>
      <w:sz w:val="30"/>
      <w:szCs w:val="30"/>
    </w:rPr>
  </w:style>
  <w:style w:type="character" w:customStyle="1" w:styleId="18">
    <w:name w:val="页脚 Char"/>
    <w:basedOn w:val="12"/>
    <w:link w:val="5"/>
    <w:qFormat/>
    <w:uiPriority w:val="99"/>
    <w:rPr>
      <w:rFonts w:ascii="Times New Roman" w:hAnsi="Times New Roman" w:eastAsia="宋体" w:cs="Times New Roman"/>
      <w:sz w:val="18"/>
      <w:szCs w:val="18"/>
    </w:rPr>
  </w:style>
  <w:style w:type="character" w:customStyle="1" w:styleId="19">
    <w:name w:val="页眉 Char"/>
    <w:basedOn w:val="12"/>
    <w:link w:val="6"/>
    <w:qFormat/>
    <w:uiPriority w:val="0"/>
    <w:rPr>
      <w:rFonts w:ascii="Times New Roman" w:hAnsi="Times New Roman" w:eastAsia="宋体" w:cs="Times New Roman"/>
      <w:sz w:val="18"/>
      <w:szCs w:val="18"/>
    </w:rPr>
  </w:style>
  <w:style w:type="character" w:customStyle="1" w:styleId="20">
    <w:name w:val="副标题 Char"/>
    <w:basedOn w:val="12"/>
    <w:link w:val="8"/>
    <w:qFormat/>
    <w:uiPriority w:val="0"/>
    <w:rPr>
      <w:rFonts w:ascii="Times New Roman" w:hAnsi="Times New Roman" w:eastAsia="黑体" w:cs="Times New Roman"/>
      <w:bCs/>
      <w:color w:val="000000"/>
      <w:sz w:val="32"/>
      <w:szCs w:val="32"/>
    </w:rPr>
  </w:style>
  <w:style w:type="character" w:customStyle="1" w:styleId="21">
    <w:name w:val="标题 Char"/>
    <w:basedOn w:val="12"/>
    <w:link w:val="10"/>
    <w:qFormat/>
    <w:uiPriority w:val="0"/>
    <w:rPr>
      <w:rFonts w:ascii="Times New Roman" w:hAnsi="Times New Roman" w:eastAsia="黑体" w:cs="Times New Roman"/>
      <w:color w:val="000000"/>
      <w:sz w:val="44"/>
      <w:szCs w:val="44"/>
    </w:rPr>
  </w:style>
  <w:style w:type="character" w:customStyle="1" w:styleId="22">
    <w:name w:val="批注框文本 Char"/>
    <w:basedOn w:val="12"/>
    <w:link w:val="4"/>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2536</Words>
  <Characters>14458</Characters>
  <Lines>120</Lines>
  <Paragraphs>33</Paragraphs>
  <TotalTime>2</TotalTime>
  <ScaleCrop>false</ScaleCrop>
  <LinksUpToDate>false</LinksUpToDate>
  <CharactersWithSpaces>16961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2023-03-27T17:17:00Z</dcterms:created>
  <dc:creator>user</dc:creator>
  <cp:lastModifiedBy>ZG</cp:lastModifiedBy>
  <dcterms:modified xsi:type="dcterms:W3CDTF">2023-03-28T17:29:44Z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